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before="156" w:line="360" w:lineRule="auto"/>
        <w:jc w:val="center"/>
        <w:outlineLvl w:val="0"/>
        <w:rPr>
          <w:rFonts w:eastAsia="黑体"/>
          <w:sz w:val="44"/>
          <w:szCs w:val="22"/>
        </w:rPr>
      </w:pPr>
      <w:r>
        <w:rPr>
          <w:rFonts w:hint="eastAsia" w:hAnsi="黑体" w:eastAsia="黑体"/>
          <w:sz w:val="44"/>
          <w:szCs w:val="44"/>
          <w:lang w:eastAsia="zh-CN"/>
        </w:rPr>
        <w:t>《</w:t>
      </w:r>
      <w:r>
        <w:rPr>
          <w:rFonts w:hAnsi="黑体" w:eastAsia="黑体"/>
          <w:sz w:val="44"/>
          <w:szCs w:val="44"/>
        </w:rPr>
        <w:t>郑州商品交易所花生仁期货业务细则</w:t>
      </w:r>
      <w:r>
        <w:rPr>
          <w:rFonts w:hint="eastAsia" w:hAnsi="黑体" w:eastAsia="黑体"/>
          <w:sz w:val="44"/>
          <w:szCs w:val="44"/>
          <w:lang w:eastAsia="zh-CN"/>
        </w:rPr>
        <w:t>》</w:t>
      </w:r>
      <w:r>
        <w:rPr>
          <w:rFonts w:hAnsi="黑体" w:eastAsia="黑体"/>
          <w:sz w:val="44"/>
          <w:szCs w:val="44"/>
        </w:rPr>
        <w:t>修订案</w:t>
      </w:r>
    </w:p>
    <w:p>
      <w:pPr>
        <w:spacing w:line="360" w:lineRule="auto"/>
        <w:ind w:firstLine="0" w:firstLineChars="0"/>
        <w:outlineLvl w:val="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2023年6月13日郑州商品交易所第八届理事会第三</w:t>
      </w:r>
      <w:r>
        <w:rPr>
          <w:rFonts w:hint="eastAsia" w:ascii="楷体" w:hAnsi="楷体" w:eastAsia="楷体"/>
          <w:sz w:val="24"/>
          <w:lang w:val="en-US" w:eastAsia="zh-CN"/>
        </w:rPr>
        <w:t>次</w:t>
      </w:r>
      <w:r>
        <w:rPr>
          <w:rFonts w:hint="eastAsia" w:ascii="楷体" w:hAnsi="楷体" w:eastAsia="楷体"/>
          <w:sz w:val="24"/>
        </w:rPr>
        <w:t>会议审议通过，适用于</w:t>
      </w:r>
      <w:r>
        <w:rPr>
          <w:rFonts w:hint="eastAsia" w:ascii="楷体" w:hAnsi="楷体" w:eastAsia="楷体"/>
          <w:sz w:val="24"/>
          <w:lang w:eastAsia="zh-CN"/>
        </w:rPr>
        <w:t>花生</w:t>
      </w:r>
      <w:r>
        <w:rPr>
          <w:rFonts w:hint="eastAsia" w:ascii="楷体" w:hAnsi="楷体" w:eastAsia="楷体"/>
          <w:sz w:val="24"/>
        </w:rPr>
        <w:t>期货2</w:t>
      </w:r>
      <w:r>
        <w:rPr>
          <w:rFonts w:hint="eastAsia" w:ascii="楷体" w:hAnsi="楷体" w:eastAsia="楷体"/>
          <w:sz w:val="24"/>
          <w:lang w:val="en-US" w:eastAsia="zh-CN"/>
        </w:rPr>
        <w:t>311</w:t>
      </w:r>
      <w:r>
        <w:rPr>
          <w:rFonts w:hint="eastAsia" w:ascii="楷体" w:hAnsi="楷体" w:eastAsia="楷体"/>
          <w:sz w:val="24"/>
        </w:rPr>
        <w:t>及后续合约</w:t>
      </w:r>
      <w:r>
        <w:rPr>
          <w:rFonts w:hint="eastAsia" w:ascii="楷体" w:hAnsi="楷体" w:eastAsia="楷体"/>
          <w:sz w:val="24"/>
          <w:lang w:eastAsia="zh-CN"/>
        </w:rPr>
        <w:t>，</w:t>
      </w:r>
      <w:r>
        <w:rPr>
          <w:rFonts w:hint="eastAsia" w:ascii="楷体" w:hAnsi="楷体" w:eastAsia="楷体"/>
          <w:sz w:val="24"/>
        </w:rPr>
        <w:t>自2023年6月</w:t>
      </w:r>
      <w:r>
        <w:rPr>
          <w:rFonts w:hint="eastAsia" w:ascii="楷体" w:hAnsi="楷体" w:eastAsia="楷体"/>
          <w:sz w:val="24"/>
          <w:lang w:val="en-US" w:eastAsia="zh-CN"/>
        </w:rPr>
        <w:t>26</w:t>
      </w:r>
      <w:r>
        <w:rPr>
          <w:rFonts w:hint="eastAsia" w:ascii="楷体" w:hAnsi="楷体" w:eastAsia="楷体"/>
          <w:sz w:val="24"/>
        </w:rPr>
        <w:t>日施行）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对《郑州商品交易所</w:t>
      </w:r>
      <w:r>
        <w:rPr>
          <w:rFonts w:hAnsi="仿宋" w:eastAsia="仿宋"/>
          <w:sz w:val="32"/>
          <w:szCs w:val="22"/>
        </w:rPr>
        <w:t>花生仁期货业务细则</w:t>
      </w:r>
      <w:r>
        <w:rPr>
          <w:rFonts w:hAnsi="仿宋" w:eastAsia="仿宋"/>
          <w:sz w:val="32"/>
          <w:szCs w:val="32"/>
        </w:rPr>
        <w:t>》作如下修订：</w:t>
      </w:r>
    </w:p>
    <w:p>
      <w:pPr>
        <w:ind w:left="64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将第五十五条第一款修订为：</w:t>
      </w:r>
    </w:p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花生期货合约限仓标准见下表：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交易时间段</w:t>
            </w:r>
          </w:p>
        </w:tc>
        <w:tc>
          <w:tcPr>
            <w:tcW w:w="2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非期货公司会员和客户的最大单边持仓量（手）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自合约挂牌至交割月前一个月第</w:t>
            </w:r>
            <w:r>
              <w:rPr>
                <w:rFonts w:eastAsia="仿宋"/>
                <w:sz w:val="24"/>
                <w:szCs w:val="28"/>
              </w:rPr>
              <w:t>15</w:t>
            </w:r>
            <w:r>
              <w:rPr>
                <w:rFonts w:hAnsi="仿宋" w:eastAsia="仿宋"/>
                <w:sz w:val="24"/>
                <w:szCs w:val="28"/>
              </w:rPr>
              <w:t>个日历日期间的交易日</w:t>
            </w:r>
          </w:p>
        </w:tc>
        <w:tc>
          <w:tcPr>
            <w:tcW w:w="2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自交割月前一个月第</w:t>
            </w:r>
            <w:r>
              <w:rPr>
                <w:rFonts w:eastAsia="仿宋"/>
                <w:sz w:val="24"/>
                <w:szCs w:val="28"/>
              </w:rPr>
              <w:t>16</w:t>
            </w:r>
            <w:r>
              <w:rPr>
                <w:rFonts w:hAnsi="仿宋" w:eastAsia="仿宋"/>
                <w:sz w:val="24"/>
                <w:szCs w:val="28"/>
              </w:rPr>
              <w:t>个日历日至交割月前一个月最后一个日历日期间的交易日</w:t>
            </w:r>
          </w:p>
        </w:tc>
        <w:tc>
          <w:tcPr>
            <w:tcW w:w="2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交割月份</w:t>
            </w:r>
          </w:p>
        </w:tc>
        <w:tc>
          <w:tcPr>
            <w:tcW w:w="2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200</w:t>
            </w:r>
          </w:p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（自然人客户最大单边持仓量为</w:t>
            </w:r>
            <w:r>
              <w:rPr>
                <w:rFonts w:eastAsia="仿宋"/>
                <w:sz w:val="24"/>
                <w:szCs w:val="28"/>
              </w:rPr>
              <w:t>0</w:t>
            </w:r>
            <w:r>
              <w:rPr>
                <w:rFonts w:hAnsi="仿宋" w:eastAsia="仿宋"/>
                <w:sz w:val="24"/>
                <w:szCs w:val="28"/>
              </w:rPr>
              <w:t>）</w:t>
            </w:r>
          </w:p>
        </w:tc>
      </w:tr>
    </w:tbl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”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p>
      <w:pPr>
        <w:spacing w:before="156" w:line="360" w:lineRule="auto"/>
        <w:jc w:val="center"/>
        <w:outlineLvl w:val="0"/>
        <w:rPr>
          <w:rFonts w:hAnsi="黑体"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郑州商品交易所花生仁期货业务细则</w:t>
      </w:r>
    </w:p>
    <w:p>
      <w:pPr>
        <w:spacing w:before="156" w:line="360" w:lineRule="auto"/>
        <w:jc w:val="center"/>
        <w:outlineLvl w:val="0"/>
        <w:rPr>
          <w:rFonts w:eastAsia="黑体"/>
          <w:sz w:val="44"/>
          <w:szCs w:val="22"/>
        </w:rPr>
      </w:pPr>
      <w:r>
        <w:rPr>
          <w:rFonts w:hint="eastAsia" w:hAnsi="黑体" w:eastAsia="黑体"/>
          <w:sz w:val="44"/>
          <w:szCs w:val="44"/>
        </w:rPr>
        <w:t>（</w:t>
      </w:r>
      <w:r>
        <w:rPr>
          <w:rFonts w:hAnsi="黑体" w:eastAsia="黑体"/>
          <w:sz w:val="44"/>
          <w:szCs w:val="44"/>
        </w:rPr>
        <w:t>修订</w:t>
      </w:r>
      <w:r>
        <w:rPr>
          <w:rFonts w:hint="eastAsia" w:hAnsi="黑体" w:eastAsia="黑体"/>
          <w:sz w:val="44"/>
          <w:szCs w:val="44"/>
        </w:rPr>
        <w:t>条款对照表）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第五十五条 花生期货合约限仓标准见下表：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3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交易时间段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非期货公司会员和客户的最大单边持仓量（手）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自合约挂牌至交割月前一个月第15个日历日期间的交易日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trike/>
                <w:sz w:val="24"/>
              </w:rPr>
              <w:t>3000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自交割月前一个月第16个日历日至交割月前一个月最后一个日历日期间的交易日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交割月份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trike/>
                <w:sz w:val="24"/>
              </w:rPr>
              <w:t>100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200</w:t>
            </w:r>
          </w:p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（自然人客户最大单边持仓量为0）</w:t>
            </w:r>
          </w:p>
        </w:tc>
      </w:tr>
    </w:tbl>
    <w:p>
      <w:pPr>
        <w:widowControl/>
        <w:snapToGrid w:val="0"/>
        <w:spacing w:line="276" w:lineRule="auto"/>
        <w:ind w:firstLine="627" w:firstLineChars="196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51F40"/>
    <w:rsid w:val="02220782"/>
    <w:rsid w:val="0BE4564E"/>
    <w:rsid w:val="0EB17C89"/>
    <w:rsid w:val="1829275F"/>
    <w:rsid w:val="182A1252"/>
    <w:rsid w:val="1A4D0317"/>
    <w:rsid w:val="1DEC0F58"/>
    <w:rsid w:val="27355C36"/>
    <w:rsid w:val="29DC6918"/>
    <w:rsid w:val="364D5A11"/>
    <w:rsid w:val="42BC2D37"/>
    <w:rsid w:val="4CCE778A"/>
    <w:rsid w:val="51BF2250"/>
    <w:rsid w:val="61151F40"/>
    <w:rsid w:val="676F5287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2023-06-21T08:57:00Z</dcterms:created>
  <dc:creator>仇一萌</dc:creator>
  <cp:lastModifiedBy>仇一萌</cp:lastModifiedBy>
  <dcterms:modified xsi:type="dcterms:W3CDTF">2023-06-21T09:02:33Z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68BE12B0C51D4B7D8AF4EAE89DAE44E4</vt:lpwstr>
  </property>
</Properties>
</file>