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方正小标宋简体" w:eastAsia="方正小标宋简体" w:cs="方正小标宋简体"/>
          <w:b/>
          <w:bCs/>
          <w:sz w:val="44"/>
        </w:rPr>
      </w:pPr>
      <w:bookmarkStart w:id="0" w:name="_GoBack"/>
      <w:r>
        <w:rPr>
          <w:rFonts w:hint="eastAsia" w:ascii="方正小标宋简体" w:hAnsi="方正小标宋简体" w:eastAsia="方正小标宋简体" w:cs="方正小标宋简体"/>
          <w:b/>
          <w:bCs/>
          <w:sz w:val="44"/>
        </w:rPr>
        <w:t>期货和衍生品投资基金合同特别指引</w:t>
      </w:r>
    </w:p>
    <w:bookmarkEnd w:id="0"/>
    <w:p>
      <w:pPr>
        <w:snapToGrid w:val="0"/>
        <w:spacing w:line="560" w:lineRule="exact"/>
        <w:jc w:val="center"/>
        <w:rPr>
          <w:rFonts w:ascii="方正小标宋简体" w:hAnsi="方正小标宋简体" w:eastAsia="方正小标宋简体" w:cs="方正小标宋简体"/>
        </w:rPr>
      </w:pPr>
    </w:p>
    <w:p>
      <w:pPr>
        <w:pStyle w:val="26"/>
        <w:numPr>
          <w:ilvl w:val="0"/>
          <w:numId w:val="4"/>
        </w:numPr>
        <w:ind w:left="0" w:firstLine="640"/>
      </w:pPr>
      <w:r>
        <w:rPr>
          <w:rFonts w:hint="eastAsia"/>
        </w:rPr>
        <w:t>根据《中华人民共和国期货和衍生品法》《中华人民共和国证券投资基金法》《关于规范金融机构资产管理业务的指导意见》《证券期货经营机构私募资产管理业务管理办法》《证券期货经营机构私募资产管理计划运作管理规定》《私募投资基金监督管理暂行办法》，以及中国期货业协会自律规则和其他有关规定，制定本指引。</w:t>
      </w:r>
    </w:p>
    <w:p>
      <w:pPr>
        <w:pStyle w:val="26"/>
        <w:numPr>
          <w:ilvl w:val="0"/>
          <w:numId w:val="4"/>
        </w:numPr>
        <w:ind w:left="0" w:firstLine="640"/>
      </w:pPr>
      <w:r>
        <w:rPr>
          <w:rFonts w:hint="eastAsia"/>
        </w:rPr>
        <w:t>『释义』本指引所称期货和衍生品投资基金（以下简称基金），是指在中华人民共和国境内，以非公开募集方式设立的投资于期货和衍生品类资产的资产管理产品，包括以下几类：</w:t>
      </w:r>
    </w:p>
    <w:p>
      <w:pPr>
        <w:pStyle w:val="26"/>
        <w:numPr>
          <w:ilvl w:val="0"/>
          <w:numId w:val="5"/>
        </w:numPr>
        <w:ind w:left="0" w:firstLine="640"/>
      </w:pPr>
      <w:r>
        <w:rPr>
          <w:rFonts w:hint="eastAsia"/>
        </w:rPr>
        <w:t>金融机构发行的期货和衍生品类私募资产管理产品；</w:t>
      </w:r>
    </w:p>
    <w:p>
      <w:pPr>
        <w:pStyle w:val="26"/>
        <w:numPr>
          <w:ilvl w:val="0"/>
          <w:numId w:val="5"/>
        </w:numPr>
        <w:ind w:left="0" w:firstLine="640"/>
      </w:pPr>
      <w:r>
        <w:rPr>
          <w:rFonts w:hint="eastAsia"/>
        </w:rPr>
        <w:t>私募基金管理人发行的投向期货和衍生品类资产的私募投资基金；</w:t>
      </w:r>
    </w:p>
    <w:p>
      <w:pPr>
        <w:pStyle w:val="26"/>
        <w:numPr>
          <w:ilvl w:val="0"/>
          <w:numId w:val="5"/>
        </w:numPr>
        <w:ind w:left="0" w:firstLine="640"/>
      </w:pPr>
      <w:r>
        <w:rPr>
          <w:rFonts w:hint="eastAsia"/>
        </w:rPr>
        <w:t>投资范围中包含期货和衍生品类资产的私募资产管理产品或私募投资基金；</w:t>
      </w:r>
    </w:p>
    <w:p>
      <w:pPr>
        <w:pStyle w:val="26"/>
        <w:numPr>
          <w:ilvl w:val="0"/>
          <w:numId w:val="5"/>
        </w:numPr>
        <w:ind w:left="0" w:firstLine="640"/>
      </w:pPr>
      <w:r>
        <w:rPr>
          <w:rFonts w:hint="eastAsia"/>
        </w:rPr>
        <w:t>投资运作过程中需要开立期货交易编码的私募资产管理产品或私募投资基金；</w:t>
      </w:r>
    </w:p>
    <w:p>
      <w:pPr>
        <w:pStyle w:val="26"/>
        <w:numPr>
          <w:ilvl w:val="0"/>
          <w:numId w:val="5"/>
        </w:numPr>
        <w:ind w:left="0" w:firstLine="640"/>
      </w:pPr>
      <w:r>
        <w:rPr>
          <w:rFonts w:hint="eastAsia"/>
        </w:rPr>
        <w:t>其他适用本指引的私募资产管理产品或私募投资基金。</w:t>
      </w:r>
    </w:p>
    <w:p>
      <w:pPr>
        <w:pStyle w:val="26"/>
        <w:numPr>
          <w:ilvl w:val="0"/>
          <w:numId w:val="4"/>
        </w:numPr>
        <w:ind w:left="0" w:firstLine="640"/>
      </w:pPr>
      <w:r>
        <w:rPr>
          <w:rFonts w:hint="eastAsia"/>
        </w:rPr>
        <w:t>『投向』基金</w:t>
      </w:r>
      <w:r>
        <w:t>合同应当约定投向</w:t>
      </w:r>
      <w:r>
        <w:rPr>
          <w:rFonts w:hint="eastAsia"/>
        </w:rPr>
        <w:t>以下一项或多项期货和衍生品类资产：</w:t>
      </w:r>
    </w:p>
    <w:p>
      <w:pPr>
        <w:pStyle w:val="26"/>
        <w:numPr>
          <w:ilvl w:val="0"/>
          <w:numId w:val="6"/>
        </w:numPr>
        <w:ind w:left="0" w:firstLine="640"/>
      </w:pPr>
      <w:r>
        <w:rPr>
          <w:rFonts w:hint="eastAsia"/>
        </w:rPr>
        <w:t>在上海期货交易所、郑州商品交易所、大连商品交易所、中国金融期货交易所、广州期货交易所、上海国际能源交易中心等经国务院同意设立的期货交易场所上市交易的商品或金融期货合约、期权合约；</w:t>
      </w:r>
    </w:p>
    <w:p>
      <w:pPr>
        <w:pStyle w:val="26"/>
        <w:numPr>
          <w:ilvl w:val="0"/>
          <w:numId w:val="6"/>
        </w:numPr>
        <w:ind w:left="0" w:firstLine="640"/>
      </w:pPr>
      <w:r>
        <w:rPr>
          <w:rFonts w:hint="eastAsia"/>
        </w:rPr>
        <w:t>在上海证券交易所、深圳证券交易所、北京证券交易所等经国务院同意设立的证券交易场所上市交易的股票期权合约；</w:t>
      </w:r>
    </w:p>
    <w:p>
      <w:pPr>
        <w:pStyle w:val="26"/>
        <w:numPr>
          <w:ilvl w:val="0"/>
          <w:numId w:val="6"/>
        </w:numPr>
        <w:ind w:left="0" w:firstLine="640"/>
      </w:pPr>
      <w:r>
        <w:rPr>
          <w:rFonts w:hint="eastAsia"/>
        </w:rPr>
        <w:t>中国证券监督管理委员会</w:t>
      </w:r>
      <w:r>
        <w:t xml:space="preserve">(以下简称中国证监会) </w:t>
      </w:r>
      <w:r>
        <w:rPr>
          <w:rFonts w:hint="eastAsia"/>
        </w:rPr>
        <w:t>认可的在境外交易所上市交易的期货和衍生品合约；</w:t>
      </w:r>
    </w:p>
    <w:p>
      <w:pPr>
        <w:pStyle w:val="26"/>
        <w:numPr>
          <w:ilvl w:val="0"/>
          <w:numId w:val="6"/>
        </w:numPr>
        <w:ind w:left="0" w:firstLine="640"/>
      </w:pPr>
      <w:r>
        <w:rPr>
          <w:rFonts w:hint="eastAsia"/>
        </w:rPr>
        <w:t>以中国证监会批准或衍生品行业协会备案的衍生品经营机构</w:t>
      </w:r>
      <w:r>
        <w:t>为交易对手的</w:t>
      </w:r>
      <w:r>
        <w:rPr>
          <w:rFonts w:hint="eastAsia"/>
        </w:rPr>
        <w:t>互换合约、远期合约或非标准化期权合约及其组合；</w:t>
      </w:r>
    </w:p>
    <w:p>
      <w:pPr>
        <w:pStyle w:val="26"/>
        <w:numPr>
          <w:ilvl w:val="0"/>
          <w:numId w:val="6"/>
        </w:numPr>
        <w:ind w:left="0" w:firstLine="640"/>
      </w:pPr>
      <w:r>
        <w:rPr>
          <w:rFonts w:hint="eastAsia"/>
        </w:rPr>
        <w:t>在证券交易所、银行间市场上市或交易的利率类、债券类、外汇类、信用类金融衍生品。</w:t>
      </w:r>
    </w:p>
    <w:p>
      <w:pPr>
        <w:pStyle w:val="26"/>
        <w:numPr>
          <w:ilvl w:val="0"/>
          <w:numId w:val="6"/>
        </w:numPr>
        <w:ind w:left="0" w:firstLine="640"/>
      </w:pPr>
      <w:r>
        <w:rPr>
          <w:rFonts w:hint="eastAsia"/>
        </w:rPr>
        <w:t>第（一）至（五）项规定以外的，符合《中华人民共和国期货和衍生品法》规定的衍生品合约。</w:t>
      </w:r>
    </w:p>
    <w:p>
      <w:pPr>
        <w:pStyle w:val="26"/>
        <w:ind w:firstLine="640"/>
        <w:rPr>
          <w:rFonts w:hint="eastAsia"/>
        </w:rPr>
      </w:pPr>
      <w:r>
        <w:rPr>
          <w:rFonts w:hint="eastAsia"/>
        </w:rPr>
        <w:t>以前款第（一）项至第（三）项为交易标的的统称为期货交易。以前款第（四）项至第（六）项为交易标的的统称为衍生品交易。</w:t>
      </w:r>
    </w:p>
    <w:p>
      <w:pPr>
        <w:pStyle w:val="26"/>
        <w:numPr>
          <w:ilvl w:val="0"/>
          <w:numId w:val="4"/>
        </w:numPr>
        <w:ind w:left="0" w:firstLine="640"/>
        <w:rPr>
          <w:rFonts w:ascii="仿宋_GB2312" w:hAnsi="Times New Roman" w:eastAsia="仿宋_GB2312" w:cs="Times New Roman"/>
        </w:rPr>
      </w:pPr>
      <w:r>
        <w:rPr>
          <w:rFonts w:hint="eastAsia"/>
        </w:rPr>
        <w:t>『投资组合』证券期货经营机构管理的集合类基金在投资运作过程中应当符合组合投资要求。合同应当约定，投资于同一资产的资金，不得超过该基金资产净值的</w:t>
      </w:r>
      <w:r>
        <w:t>25%；同一证券期货经营机构管理的全部集合</w:t>
      </w:r>
      <w:r>
        <w:rPr>
          <w:rFonts w:hint="eastAsia"/>
        </w:rPr>
        <w:t>类基金</w:t>
      </w:r>
      <w:r>
        <w:t>投资于同一标准化资产的资金，不得超过该资产的25%；</w:t>
      </w:r>
      <w:r>
        <w:rPr>
          <w:rFonts w:hint="eastAsia"/>
        </w:rPr>
        <w:t>涉</w:t>
      </w:r>
      <w:r>
        <w:t>及衍生品</w:t>
      </w:r>
      <w:r>
        <w:rPr>
          <w:rFonts w:hint="eastAsia"/>
        </w:rPr>
        <w:t>交易</w:t>
      </w:r>
      <w:r>
        <w:t>的，不得超过该交易对手方开展</w:t>
      </w:r>
      <w:r>
        <w:rPr>
          <w:rFonts w:hint="eastAsia"/>
        </w:rPr>
        <w:t>衍生品</w:t>
      </w:r>
      <w:r>
        <w:t>交易的名义本金总数的25%。</w:t>
      </w:r>
    </w:p>
    <w:p>
      <w:pPr>
        <w:pStyle w:val="26"/>
        <w:ind w:firstLine="640"/>
      </w:pPr>
      <w:r>
        <w:rPr>
          <w:rFonts w:hint="eastAsia"/>
        </w:rPr>
        <w:t>关于同一资产的计算方法，按下列要求执行：</w:t>
      </w:r>
    </w:p>
    <w:p>
      <w:pPr>
        <w:pStyle w:val="26"/>
        <w:numPr>
          <w:ilvl w:val="0"/>
          <w:numId w:val="7"/>
        </w:numPr>
        <w:ind w:left="0" w:firstLine="640"/>
      </w:pPr>
      <w:r>
        <w:rPr>
          <w:rFonts w:hint="eastAsia"/>
        </w:rPr>
        <w:t>进行期货合约交易的，以本产品投向同一品种</w:t>
      </w:r>
      <w:r>
        <w:t>同一月份</w:t>
      </w:r>
      <w:r>
        <w:rPr>
          <w:rFonts w:hint="eastAsia"/>
        </w:rPr>
        <w:t>期货</w:t>
      </w:r>
      <w:r>
        <w:t>合约</w:t>
      </w:r>
      <w:r>
        <w:rPr>
          <w:rFonts w:hint="eastAsia"/>
        </w:rPr>
        <w:t>所占用的</w:t>
      </w:r>
      <w:r>
        <w:t>保证金</w:t>
      </w:r>
      <w:r>
        <w:rPr>
          <w:rFonts w:hint="eastAsia"/>
        </w:rPr>
        <w:t>金额或本产品持有同一品种同一月份期货合约的持仓数量作为计算标准，同时应当</w:t>
      </w:r>
      <w:r>
        <w:t>符合交易所的限仓规定；</w:t>
      </w:r>
    </w:p>
    <w:p>
      <w:pPr>
        <w:pStyle w:val="26"/>
        <w:numPr>
          <w:ilvl w:val="0"/>
          <w:numId w:val="7"/>
        </w:numPr>
        <w:ind w:left="0" w:firstLine="640"/>
      </w:pPr>
      <w:r>
        <w:rPr>
          <w:rFonts w:hint="eastAsia"/>
        </w:rPr>
        <w:t>进行标准化期权合约交易的，权利方以权利金金额或持仓数量作为计算标准，义务方以所占用的保证金金额、权利金金额或持仓数量作为计算标准。</w:t>
      </w:r>
    </w:p>
    <w:p>
      <w:pPr>
        <w:pStyle w:val="26"/>
        <w:numPr>
          <w:ilvl w:val="0"/>
          <w:numId w:val="7"/>
        </w:numPr>
        <w:ind w:left="0" w:firstLine="640"/>
      </w:pPr>
      <w:r>
        <w:rPr>
          <w:rFonts w:hint="eastAsia"/>
        </w:rPr>
        <w:t>进行衍生品交易的，以本产品与同一交易对手方开展衍生品交易的权利金金额或所占用的保证金金额作为计算标准。</w:t>
      </w:r>
    </w:p>
    <w:p>
      <w:pPr>
        <w:pStyle w:val="26"/>
        <w:ind w:firstLine="640"/>
      </w:pPr>
      <w:r>
        <w:rPr>
          <w:rFonts w:hint="eastAsia"/>
        </w:rPr>
        <w:t>全部投资者为专业投资者且最低投资金额1000 万元以上的封闭式集合类基金及中国证监会认可的其他基金不受前款规定比例限制的除外。</w:t>
      </w:r>
    </w:p>
    <w:p>
      <w:pPr>
        <w:pStyle w:val="26"/>
        <w:numPr>
          <w:ilvl w:val="0"/>
          <w:numId w:val="4"/>
        </w:numPr>
        <w:ind w:left="0" w:firstLine="640"/>
      </w:pPr>
      <w:r>
        <w:rPr>
          <w:rFonts w:hint="eastAsia"/>
        </w:rPr>
        <w:t>『适当性』基金管理人应当严格履行适当性管理要求，根据投资者风险承受能力推荐合适风险等级的基金。管理人应当确保投资者对期货和衍生品交易有充分和清晰的了解，并在合同中进行充分提示。</w:t>
      </w:r>
    </w:p>
    <w:p>
      <w:pPr>
        <w:pStyle w:val="26"/>
        <w:numPr>
          <w:ilvl w:val="0"/>
          <w:numId w:val="4"/>
        </w:numPr>
        <w:ind w:left="0" w:firstLine="640"/>
      </w:pPr>
      <w:r>
        <w:rPr>
          <w:rFonts w:hint="eastAsia"/>
        </w:rPr>
        <w:t>『利益冲突』基金管理人应当建立健全利益冲突防范机制，并在合同中就费用收取、投资机会分配、资产估值等可能存在利益冲突的情形，向投资者充分披露，并约定处理方式和程序。</w:t>
      </w:r>
    </w:p>
    <w:p>
      <w:pPr>
        <w:pStyle w:val="26"/>
        <w:numPr>
          <w:ilvl w:val="0"/>
          <w:numId w:val="4"/>
        </w:numPr>
        <w:ind w:left="0" w:firstLine="640"/>
      </w:pPr>
      <w:r>
        <w:rPr>
          <w:rFonts w:hint="eastAsia"/>
        </w:rPr>
        <w:t>『投资经理』合同应当明确投资经理具有期货和衍生品投资管理、投资研究、投资咨询等参与期货和衍生品市场的业务经验，并明确约定投资经理权责。</w:t>
      </w:r>
    </w:p>
    <w:p>
      <w:pPr>
        <w:pStyle w:val="26"/>
        <w:numPr>
          <w:ilvl w:val="0"/>
          <w:numId w:val="4"/>
        </w:numPr>
        <w:ind w:left="0" w:firstLine="640"/>
      </w:pPr>
      <w:r>
        <w:rPr>
          <w:rFonts w:hint="eastAsia"/>
        </w:rPr>
        <w:t>『尽职调查』基金拟涉及衍生品交易的，合同应当约定管理人的尽职调查职责，尽职调查内容至少应当包括交易对手方的衍生品交易业务资质、衍生品交易业务风险管理和内部控制制度。</w:t>
      </w:r>
    </w:p>
    <w:p>
      <w:pPr>
        <w:pStyle w:val="26"/>
        <w:numPr>
          <w:ilvl w:val="0"/>
          <w:numId w:val="4"/>
        </w:numPr>
        <w:ind w:left="0" w:firstLine="640"/>
      </w:pPr>
      <w:r>
        <w:rPr>
          <w:rFonts w:hint="eastAsia"/>
        </w:rPr>
        <w:t>『权益类』基金拟进行权益类</w:t>
      </w:r>
      <w:r>
        <w:t>衍生品</w:t>
      </w:r>
      <w:r>
        <w:rPr>
          <w:rFonts w:hint="eastAsia"/>
        </w:rPr>
        <w:t>交易的，基金合同应当约定下列事项：</w:t>
      </w:r>
    </w:p>
    <w:p>
      <w:pPr>
        <w:pStyle w:val="26"/>
        <w:numPr>
          <w:ilvl w:val="0"/>
          <w:numId w:val="8"/>
        </w:numPr>
        <w:ind w:left="0" w:firstLine="640"/>
      </w:pPr>
      <w:r>
        <w:rPr>
          <w:rFonts w:hint="eastAsia"/>
        </w:rPr>
        <w:t>管理人最近一年末管理的金融资产规模不低于5亿元人民币，且具备2年以上金融产品管理经验；</w:t>
      </w:r>
    </w:p>
    <w:p>
      <w:pPr>
        <w:pStyle w:val="26"/>
        <w:numPr>
          <w:ilvl w:val="0"/>
          <w:numId w:val="8"/>
        </w:numPr>
        <w:ind w:left="0" w:firstLine="640"/>
      </w:pPr>
      <w:r>
        <w:rPr>
          <w:rFonts w:hint="eastAsia"/>
        </w:rPr>
        <w:t>基金为合规设立的非结构化产品；</w:t>
      </w:r>
    </w:p>
    <w:p>
      <w:pPr>
        <w:pStyle w:val="26"/>
        <w:numPr>
          <w:ilvl w:val="0"/>
          <w:numId w:val="8"/>
        </w:numPr>
        <w:ind w:left="0" w:firstLine="640"/>
      </w:pPr>
      <w:r>
        <w:rPr>
          <w:rFonts w:hint="eastAsia"/>
        </w:rPr>
        <w:t>基金进行权益类衍生品交易前，产品规模应当符合交易商对投资者的适当性管理要求；</w:t>
      </w:r>
    </w:p>
    <w:p>
      <w:pPr>
        <w:pStyle w:val="26"/>
        <w:numPr>
          <w:ilvl w:val="0"/>
          <w:numId w:val="8"/>
        </w:numPr>
        <w:ind w:left="0" w:firstLine="640"/>
      </w:pPr>
      <w:r>
        <w:rPr>
          <w:rFonts w:hint="eastAsia"/>
        </w:rPr>
        <w:t>基金</w:t>
      </w:r>
      <w:r>
        <w:t>穿透后的</w:t>
      </w:r>
      <w:r>
        <w:rPr>
          <w:rFonts w:hint="eastAsia"/>
        </w:rPr>
        <w:t>投资者</w:t>
      </w:r>
      <w:r>
        <w:t>中</w:t>
      </w:r>
      <w:r>
        <w:rPr>
          <w:rFonts w:hint="eastAsia"/>
        </w:rPr>
        <w:t>存在</w:t>
      </w:r>
      <w:r>
        <w:t>单一投资者在产品中权益超过20%的，</w:t>
      </w:r>
      <w:r>
        <w:rPr>
          <w:rFonts w:hint="eastAsia"/>
        </w:rPr>
        <w:t>该投资者</w:t>
      </w:r>
      <w:r>
        <w:t>应当符合专业投资者标准</w:t>
      </w:r>
      <w:r>
        <w:rPr>
          <w:rFonts w:hint="eastAsia"/>
        </w:rPr>
        <w:t>及交易商对投资者适当性管理的其他要求</w:t>
      </w:r>
      <w:r>
        <w:t xml:space="preserve">； </w:t>
      </w:r>
    </w:p>
    <w:p>
      <w:pPr>
        <w:pStyle w:val="26"/>
        <w:numPr>
          <w:ilvl w:val="0"/>
          <w:numId w:val="8"/>
        </w:numPr>
        <w:ind w:left="0" w:firstLine="640"/>
        <w:rPr>
          <w:rFonts w:ascii="仿宋_GB2312" w:hAnsi="Times New Roman" w:eastAsia="仿宋_GB2312" w:cs="Times New Roman"/>
        </w:rPr>
      </w:pPr>
      <w:r>
        <w:rPr>
          <w:rFonts w:hint="eastAsia"/>
        </w:rPr>
        <w:t>基金购买场外期权支付的期权费以及缴纳的初始保证金合计不超过产品规模的30%。</w:t>
      </w:r>
    </w:p>
    <w:p>
      <w:pPr>
        <w:pStyle w:val="26"/>
        <w:numPr>
          <w:ilvl w:val="0"/>
          <w:numId w:val="4"/>
        </w:numPr>
        <w:ind w:left="0" w:firstLine="640"/>
      </w:pPr>
      <w:r>
        <w:rPr>
          <w:rFonts w:hint="eastAsia"/>
        </w:rPr>
        <w:t>『流动性管理』基金管理人应当建立与基金投资策略相匹配的流动性风险管理政策，在合同中向投资者披露，并与投资者约定开放退出期内的流动性管理方式。</w:t>
      </w:r>
    </w:p>
    <w:p>
      <w:pPr>
        <w:pStyle w:val="26"/>
        <w:numPr>
          <w:ilvl w:val="0"/>
          <w:numId w:val="4"/>
        </w:numPr>
        <w:ind w:left="0" w:firstLine="640"/>
      </w:pPr>
      <w:r>
        <w:rPr>
          <w:rFonts w:hint="eastAsia"/>
        </w:rPr>
        <w:t>『费率』合同应当约定基金费用和费率的相关情况，确保投资者拥有清晰充分的信息理解相关费用的计提标准和计提方式。</w:t>
      </w:r>
    </w:p>
    <w:p>
      <w:pPr>
        <w:pStyle w:val="26"/>
        <w:ind w:firstLine="640"/>
      </w:pPr>
      <w:r>
        <w:rPr>
          <w:rFonts w:hint="eastAsia"/>
        </w:rPr>
        <w:t>固定管理费高于行业普遍标准的，基金管理人应当进行合理说明。</w:t>
      </w:r>
    </w:p>
    <w:p>
      <w:pPr>
        <w:pStyle w:val="26"/>
        <w:ind w:firstLine="640" w:firstLineChars="0"/>
      </w:pPr>
      <w:r>
        <w:rPr>
          <w:rFonts w:hint="eastAsia"/>
        </w:rPr>
        <w:t>合同中约定提取业绩报酬的，应当明确业绩报酬计提方法，包括：</w:t>
      </w:r>
    </w:p>
    <w:p>
      <w:pPr>
        <w:pStyle w:val="26"/>
        <w:numPr>
          <w:ilvl w:val="0"/>
          <w:numId w:val="9"/>
        </w:numPr>
        <w:ind w:left="0" w:firstLine="640"/>
      </w:pPr>
      <w:r>
        <w:rPr>
          <w:rFonts w:hint="eastAsia"/>
        </w:rPr>
        <w:t>高水位法，计提基准为产品历史高水位，业绩报酬计提基数（以下简称“计提基数”）为管理人取得超过历史高水位的绝对收益；</w:t>
      </w:r>
    </w:p>
    <w:p>
      <w:pPr>
        <w:pStyle w:val="26"/>
        <w:numPr>
          <w:ilvl w:val="0"/>
          <w:numId w:val="9"/>
        </w:numPr>
        <w:ind w:left="0" w:firstLine="640"/>
      </w:pPr>
      <w:r>
        <w:rPr>
          <w:rFonts w:hint="eastAsia"/>
        </w:rPr>
        <w:t>业绩比较基准法，计提基准为与投资策略相匹配的市场指数或指数组合，计提基数为超出相应指数或指数组合的相对收益；</w:t>
      </w:r>
    </w:p>
    <w:p>
      <w:pPr>
        <w:pStyle w:val="26"/>
        <w:numPr>
          <w:ilvl w:val="0"/>
          <w:numId w:val="9"/>
        </w:numPr>
        <w:ind w:left="0" w:firstLine="640"/>
      </w:pPr>
      <w:r>
        <w:rPr>
          <w:rFonts w:hint="eastAsia"/>
        </w:rPr>
        <w:t>门槛收益率法，计提基准为固定的年化收益率，即门槛收益率，计提基数为产品实际年化收益率超过固定年化收益率的相对收益。</w:t>
      </w:r>
    </w:p>
    <w:p>
      <w:pPr>
        <w:pStyle w:val="26"/>
        <w:numPr>
          <w:ilvl w:val="0"/>
          <w:numId w:val="9"/>
        </w:numPr>
        <w:ind w:left="0" w:firstLine="640"/>
      </w:pPr>
      <w:r>
        <w:rPr>
          <w:rFonts w:hint="eastAsia"/>
        </w:rPr>
        <w:t>其他合理计提方法。</w:t>
      </w:r>
    </w:p>
    <w:p>
      <w:pPr>
        <w:pStyle w:val="26"/>
        <w:numPr>
          <w:ilvl w:val="0"/>
          <w:numId w:val="4"/>
        </w:numPr>
        <w:ind w:left="0" w:firstLine="640"/>
      </w:pPr>
      <w:r>
        <w:rPr>
          <w:rFonts w:hint="eastAsia"/>
        </w:rPr>
        <w:t>『估值』合同应当约定期货和衍生品类资产按公允价值法进行估值。进行衍生品交易的，应特别提示以公允价值法估值时公允价值的来源。管理人对管理的不同基金持有的具有相同特征的同一投资品种的估值原则、程序及技术应当一致，因特殊原因不一致的，应当详细向投资者披露并获得投资者书面认可。</w:t>
      </w:r>
    </w:p>
    <w:p>
      <w:pPr>
        <w:pStyle w:val="26"/>
        <w:ind w:firstLine="640"/>
      </w:pPr>
      <w:r>
        <w:rPr>
          <w:rFonts w:hint="eastAsia"/>
        </w:rPr>
        <w:t>管理人可依据由第三方提供的数据进行估值，但管理人应承担的估值责任不因其使用第三方提供的数据而免除。</w:t>
      </w:r>
    </w:p>
    <w:p>
      <w:pPr>
        <w:pStyle w:val="26"/>
        <w:ind w:firstLine="640"/>
      </w:pPr>
      <w:r>
        <w:rPr>
          <w:rFonts w:hint="eastAsia"/>
        </w:rPr>
        <w:t xml:space="preserve">合同应提示期货和衍生品类资产的交易时间与一般资产不同，估值时不同标的间采用的基准日不同可能造成估值与产品净值间存在误差。 </w:t>
      </w:r>
    </w:p>
    <w:p>
      <w:pPr>
        <w:pStyle w:val="26"/>
        <w:numPr>
          <w:ilvl w:val="0"/>
          <w:numId w:val="4"/>
        </w:numPr>
        <w:ind w:left="0" w:firstLine="640"/>
      </w:pPr>
      <w:r>
        <w:rPr>
          <w:rFonts w:hint="eastAsia"/>
        </w:rPr>
        <w:t>『投资策略』合同应当详细约定投资策略，并确保投资者对投资策略及风险情况有充分清晰的了解。投资策略拟发生重大变更的，应当通过与投资者和托管人约定的披露方式，事先取得投资者和托管人的同意。</w:t>
      </w:r>
    </w:p>
    <w:p>
      <w:pPr>
        <w:pStyle w:val="26"/>
        <w:numPr>
          <w:ilvl w:val="0"/>
          <w:numId w:val="4"/>
        </w:numPr>
        <w:ind w:left="0" w:firstLine="640"/>
      </w:pPr>
      <w:r>
        <w:rPr>
          <w:rFonts w:hint="eastAsia"/>
        </w:rPr>
        <w:t>『风控制度』基金管理人应当设立与投资策略和基金规模相匹配的风险管理及监控制度，并在合同中约定产品风险管理流程、风险控制方案及具体风险控制指标，并根据投资策略复杂程度进行调整。</w:t>
      </w:r>
    </w:p>
    <w:p>
      <w:pPr>
        <w:pStyle w:val="26"/>
        <w:numPr>
          <w:ilvl w:val="0"/>
          <w:numId w:val="4"/>
        </w:numPr>
        <w:ind w:left="0" w:firstLine="640"/>
      </w:pPr>
      <w:r>
        <w:rPr>
          <w:rFonts w:hint="eastAsia"/>
        </w:rPr>
        <w:t>『信息披露』合同应当约定基金业绩评价指标的披露内容、频率和方法，并确保投资者对指标有充分清晰的了解。评价指标应当包括但不限于区间年化收益率、夏普比率、年化波动率、最大回撤和卡玛比率。</w:t>
      </w:r>
    </w:p>
    <w:p>
      <w:pPr>
        <w:pStyle w:val="26"/>
        <w:ind w:firstLine="566" w:firstLineChars="177"/>
      </w:pPr>
      <w:r>
        <w:rPr>
          <w:rFonts w:hint="eastAsia"/>
        </w:rPr>
        <w:t>合同应当约定净值披露方式，进行期货交易的基金至少每周披露一次净值，进行衍生品交易的基金至少每季度披露一次净值。合同应当约定在定期报告中披露高位、中位、低位时点的净值。</w:t>
      </w:r>
    </w:p>
    <w:p>
      <w:pPr>
        <w:pStyle w:val="26"/>
        <w:numPr>
          <w:ilvl w:val="0"/>
          <w:numId w:val="4"/>
        </w:numPr>
        <w:ind w:left="0" w:firstLine="640"/>
      </w:pPr>
      <w:r>
        <w:rPr>
          <w:rFonts w:hint="eastAsia"/>
        </w:rPr>
        <w:t>『独立性』合同应当对基金资产的独立性进行约定，合同应当约定基金以基金资产为限承担基金债务或亏损的有限责任。管理人或托管人对上述债务或亏损存在过错的，依照相关规定处理。</w:t>
      </w:r>
    </w:p>
    <w:p>
      <w:pPr>
        <w:pStyle w:val="26"/>
        <w:ind w:firstLine="640"/>
      </w:pPr>
      <w:r>
        <w:rPr>
          <w:rFonts w:hint="eastAsia"/>
        </w:rPr>
        <w:t>根据《证券投资基金法》规定，基金合同对债务或亏损承担另有约定的，从其约定。</w:t>
      </w:r>
    </w:p>
    <w:p>
      <w:pPr>
        <w:pStyle w:val="26"/>
        <w:numPr>
          <w:ilvl w:val="0"/>
          <w:numId w:val="4"/>
        </w:numPr>
        <w:ind w:left="0" w:firstLine="640"/>
      </w:pPr>
      <w:r>
        <w:rPr>
          <w:rFonts w:hint="eastAsia"/>
        </w:rPr>
        <w:t>『信用报告』中国期货业协会等自律监管机构对管理人出具信用报告的，合同可以对投资者查看信用报告的权利进行约定。</w:t>
      </w:r>
    </w:p>
    <w:p>
      <w:pPr>
        <w:pStyle w:val="26"/>
        <w:numPr>
          <w:ilvl w:val="0"/>
          <w:numId w:val="4"/>
        </w:numPr>
        <w:ind w:left="0" w:firstLine="640"/>
      </w:pPr>
      <w:r>
        <w:rPr>
          <w:rFonts w:hint="eastAsia"/>
        </w:rPr>
        <w:t>『关联交易』合同应当对关联交易管理进行约定，具体包括：</w:t>
      </w:r>
    </w:p>
    <w:p>
      <w:pPr>
        <w:pStyle w:val="26"/>
        <w:numPr>
          <w:ilvl w:val="0"/>
          <w:numId w:val="10"/>
        </w:numPr>
        <w:ind w:left="0" w:firstLine="640"/>
      </w:pPr>
      <w:r>
        <w:rPr>
          <w:rFonts w:hint="eastAsia"/>
        </w:rPr>
        <w:t>应当约定关联方范围、关联交易审批机制等，并对关联交易进行特别风险揭示。</w:t>
      </w:r>
    </w:p>
    <w:p>
      <w:pPr>
        <w:pStyle w:val="26"/>
        <w:numPr>
          <w:ilvl w:val="0"/>
          <w:numId w:val="10"/>
        </w:numPr>
        <w:ind w:left="0" w:firstLine="640"/>
      </w:pPr>
      <w:r>
        <w:rPr>
          <w:rFonts w:hint="eastAsia"/>
        </w:rPr>
        <w:t>涉及衍生品关联交易的，管理人应当保证关联交易定价合理、公允，不存在不当利益输送或投资者利益受侵害的情形，并向投资者进行及时披露。</w:t>
      </w:r>
    </w:p>
    <w:p>
      <w:pPr>
        <w:pStyle w:val="26"/>
        <w:numPr>
          <w:ilvl w:val="0"/>
          <w:numId w:val="10"/>
        </w:numPr>
        <w:ind w:left="0" w:firstLine="640"/>
      </w:pPr>
      <w:r>
        <w:rPr>
          <w:rFonts w:hint="eastAsia"/>
        </w:rPr>
        <w:t>重大关联交易应包括单笔或多笔合计，采取逐笔通过公告或书面征求意见等方式事前取得投资者同意，事后逐笔披露及报告。</w:t>
      </w:r>
    </w:p>
    <w:p>
      <w:pPr>
        <w:pStyle w:val="26"/>
        <w:numPr>
          <w:ilvl w:val="0"/>
          <w:numId w:val="4"/>
        </w:numPr>
        <w:ind w:left="0" w:firstLine="640"/>
      </w:pPr>
      <w:r>
        <w:rPr>
          <w:rFonts w:hint="eastAsia"/>
        </w:rPr>
        <w:t>『特别风险揭示』涉及期货交易的，合同应当对投资范围内包含的各类相关资产逐一进行特别风险揭示：</w:t>
      </w:r>
    </w:p>
    <w:p>
      <w:pPr>
        <w:numPr>
          <w:ilvl w:val="0"/>
          <w:numId w:val="11"/>
        </w:numPr>
        <w:ind w:firstLine="640"/>
        <w:rPr>
          <w:rFonts w:ascii="仿宋" w:hAnsi="仿宋" w:eastAsia="仿宋" w:cs="仿宋"/>
          <w:sz w:val="32"/>
          <w:szCs w:val="32"/>
        </w:rPr>
      </w:pPr>
      <w:r>
        <w:rPr>
          <w:rFonts w:hint="eastAsia" w:ascii="仿宋" w:hAnsi="仿宋" w:eastAsia="仿宋" w:cs="仿宋"/>
          <w:sz w:val="32"/>
          <w:szCs w:val="32"/>
        </w:rPr>
        <w:t>本金损失风险：因所投衍生品自身交易特点导致的本金损失风险；</w:t>
      </w:r>
    </w:p>
    <w:p>
      <w:pPr>
        <w:numPr>
          <w:ilvl w:val="0"/>
          <w:numId w:val="11"/>
        </w:numPr>
        <w:ind w:firstLine="640"/>
        <w:rPr>
          <w:rFonts w:ascii="仿宋" w:hAnsi="仿宋" w:eastAsia="仿宋" w:cs="仿宋"/>
          <w:sz w:val="32"/>
          <w:szCs w:val="32"/>
        </w:rPr>
      </w:pPr>
      <w:r>
        <w:rPr>
          <w:rFonts w:ascii="仿宋" w:hAnsi="仿宋" w:eastAsia="仿宋" w:cs="仿宋"/>
          <w:sz w:val="32"/>
          <w:szCs w:val="32"/>
        </w:rPr>
        <w:t>保证金不足风险</w:t>
      </w:r>
      <w:r>
        <w:rPr>
          <w:rFonts w:hint="eastAsia" w:ascii="仿宋" w:hAnsi="仿宋" w:eastAsia="仿宋" w:cs="仿宋"/>
          <w:sz w:val="32"/>
          <w:szCs w:val="32"/>
        </w:rPr>
        <w:t>：账户保证金不足时，因按合同约定追加保证金、补足备兑备用证券或采取自行平仓措施所产生的相关风险；</w:t>
      </w:r>
    </w:p>
    <w:p>
      <w:pPr>
        <w:numPr>
          <w:ilvl w:val="0"/>
          <w:numId w:val="11"/>
        </w:numPr>
        <w:ind w:firstLine="640"/>
        <w:rPr>
          <w:rFonts w:ascii="仿宋" w:hAnsi="仿宋" w:eastAsia="仿宋" w:cs="仿宋"/>
          <w:sz w:val="32"/>
          <w:szCs w:val="32"/>
        </w:rPr>
      </w:pPr>
      <w:r>
        <w:rPr>
          <w:rFonts w:hint="eastAsia" w:ascii="仿宋" w:hAnsi="仿宋" w:eastAsia="仿宋" w:cs="仿宋"/>
          <w:sz w:val="32"/>
          <w:szCs w:val="32"/>
        </w:rPr>
        <w:t>合约展期风险：因所持有的合约临近交割期限需要向较远月份的合约进行展期可能发生的价差损失以及交易成本损失等风险；</w:t>
      </w:r>
    </w:p>
    <w:p>
      <w:pPr>
        <w:numPr>
          <w:ilvl w:val="0"/>
          <w:numId w:val="11"/>
        </w:numPr>
        <w:ind w:firstLine="640"/>
        <w:rPr>
          <w:rFonts w:ascii="仿宋" w:hAnsi="仿宋" w:eastAsia="仿宋" w:cs="仿宋"/>
          <w:sz w:val="32"/>
          <w:szCs w:val="32"/>
        </w:rPr>
      </w:pPr>
      <w:r>
        <w:rPr>
          <w:rFonts w:hint="eastAsia" w:ascii="仿宋" w:hAnsi="仿宋" w:eastAsia="仿宋" w:cs="仿宋"/>
          <w:sz w:val="32"/>
          <w:szCs w:val="32"/>
        </w:rPr>
        <w:t>流动性风险：因市场行情波动剧烈出现单边涨跌停价格、投资者缺乏投资兴趣等因素变化导致的合约流动性风险；</w:t>
      </w:r>
    </w:p>
    <w:p>
      <w:pPr>
        <w:numPr>
          <w:ilvl w:val="0"/>
          <w:numId w:val="11"/>
        </w:numPr>
        <w:ind w:firstLine="640"/>
        <w:rPr>
          <w:rFonts w:ascii="仿宋" w:hAnsi="仿宋" w:eastAsia="仿宋" w:cs="仿宋"/>
          <w:sz w:val="32"/>
          <w:szCs w:val="32"/>
        </w:rPr>
      </w:pPr>
      <w:r>
        <w:rPr>
          <w:rFonts w:hint="eastAsia" w:ascii="仿宋" w:hAnsi="仿宋" w:eastAsia="仿宋" w:cs="仿宋"/>
          <w:sz w:val="32"/>
          <w:szCs w:val="32"/>
        </w:rPr>
        <w:t>基差风险：由于基差波动不确定性加大、基差向不利方向变动等情况产生的风险；</w:t>
      </w:r>
    </w:p>
    <w:p>
      <w:pPr>
        <w:numPr>
          <w:ilvl w:val="0"/>
          <w:numId w:val="11"/>
        </w:numPr>
        <w:ind w:firstLine="640"/>
        <w:rPr>
          <w:rFonts w:ascii="仿宋" w:hAnsi="仿宋" w:eastAsia="仿宋" w:cs="仿宋"/>
          <w:sz w:val="32"/>
          <w:szCs w:val="32"/>
        </w:rPr>
      </w:pPr>
      <w:r>
        <w:rPr>
          <w:rFonts w:hint="eastAsia" w:ascii="仿宋" w:hAnsi="仿宋" w:eastAsia="仿宋" w:cs="仿宋"/>
          <w:sz w:val="32"/>
          <w:szCs w:val="32"/>
        </w:rPr>
        <w:t>杠杆风险：采取保证金交易方式，因杠杆属性带来的相关风险；</w:t>
      </w:r>
    </w:p>
    <w:p>
      <w:pPr>
        <w:numPr>
          <w:ilvl w:val="0"/>
          <w:numId w:val="11"/>
        </w:numPr>
        <w:ind w:firstLine="640"/>
        <w:rPr>
          <w:rFonts w:ascii="仿宋" w:hAnsi="仿宋" w:eastAsia="仿宋" w:cs="仿宋"/>
          <w:sz w:val="32"/>
          <w:szCs w:val="32"/>
        </w:rPr>
      </w:pPr>
      <w:r>
        <w:rPr>
          <w:rFonts w:hint="eastAsia" w:ascii="仿宋" w:hAnsi="仿宋" w:eastAsia="仿宋" w:cs="仿宋"/>
          <w:sz w:val="32"/>
          <w:szCs w:val="32"/>
        </w:rPr>
        <w:t>政策风险：由于国家法律、法规、政策的变化、期货交易场所交易规则的修改、紧急措施的出台等原因导致产品必须承担全部损失的相关风险；</w:t>
      </w:r>
    </w:p>
    <w:p>
      <w:pPr>
        <w:numPr>
          <w:ilvl w:val="0"/>
          <w:numId w:val="11"/>
        </w:numPr>
        <w:ind w:firstLine="640"/>
        <w:rPr>
          <w:rFonts w:ascii="仿宋" w:hAnsi="仿宋" w:eastAsia="仿宋" w:cs="仿宋"/>
          <w:sz w:val="32"/>
          <w:szCs w:val="32"/>
        </w:rPr>
      </w:pPr>
      <w:r>
        <w:rPr>
          <w:rFonts w:hint="eastAsia" w:ascii="仿宋" w:hAnsi="仿宋" w:eastAsia="仿宋" w:cs="仿宋"/>
          <w:sz w:val="32"/>
          <w:szCs w:val="32"/>
        </w:rPr>
        <w:t>管理人认为需要揭示的其他风险。</w:t>
      </w:r>
    </w:p>
    <w:p>
      <w:pPr>
        <w:pStyle w:val="26"/>
        <w:numPr>
          <w:ilvl w:val="0"/>
          <w:numId w:val="4"/>
        </w:numPr>
        <w:ind w:left="0" w:firstLine="640"/>
      </w:pPr>
      <w:r>
        <w:rPr>
          <w:rFonts w:hint="eastAsia"/>
        </w:rPr>
        <w:t>『特别风险揭示』涉及衍生品交易的，合同应当对投资范围内包含的各类相关资产逐一进行特别风险揭示：</w:t>
      </w:r>
    </w:p>
    <w:p>
      <w:pPr>
        <w:numPr>
          <w:ilvl w:val="0"/>
          <w:numId w:val="12"/>
        </w:numPr>
        <w:ind w:firstLine="567"/>
        <w:rPr>
          <w:rFonts w:ascii="仿宋" w:hAnsi="仿宋" w:eastAsia="仿宋" w:cs="仿宋"/>
          <w:sz w:val="32"/>
          <w:szCs w:val="32"/>
        </w:rPr>
      </w:pPr>
      <w:r>
        <w:rPr>
          <w:rFonts w:hint="eastAsia" w:ascii="仿宋" w:hAnsi="仿宋" w:eastAsia="仿宋" w:cs="仿宋"/>
          <w:sz w:val="32"/>
          <w:szCs w:val="32"/>
        </w:rPr>
        <w:t>流动性风险：因</w:t>
      </w:r>
      <w:r>
        <w:rPr>
          <w:rFonts w:ascii="仿宋" w:hAnsi="仿宋" w:eastAsia="仿宋" w:cs="仿宋"/>
          <w:sz w:val="32"/>
          <w:szCs w:val="32"/>
        </w:rPr>
        <w:t>场外衍生品不具备充分市场流动性</w:t>
      </w:r>
      <w:r>
        <w:rPr>
          <w:rFonts w:hint="eastAsia" w:ascii="仿宋" w:hAnsi="仿宋" w:eastAsia="仿宋" w:cs="仿宋"/>
          <w:sz w:val="32"/>
          <w:szCs w:val="32"/>
        </w:rPr>
        <w:t>导致的产品流动性受限等相关</w:t>
      </w:r>
      <w:r>
        <w:rPr>
          <w:rFonts w:ascii="仿宋" w:hAnsi="仿宋" w:eastAsia="仿宋" w:cs="仿宋"/>
          <w:sz w:val="32"/>
          <w:szCs w:val="32"/>
        </w:rPr>
        <w:t>风险</w:t>
      </w:r>
      <w:r>
        <w:rPr>
          <w:rFonts w:hint="eastAsia" w:ascii="仿宋" w:hAnsi="仿宋" w:eastAsia="仿宋" w:cs="仿宋"/>
          <w:sz w:val="32"/>
          <w:szCs w:val="32"/>
        </w:rPr>
        <w:t>；</w:t>
      </w:r>
    </w:p>
    <w:p>
      <w:pPr>
        <w:numPr>
          <w:ilvl w:val="0"/>
          <w:numId w:val="12"/>
        </w:numPr>
        <w:ind w:firstLine="640"/>
        <w:rPr>
          <w:rFonts w:ascii="仿宋" w:hAnsi="仿宋" w:eastAsia="仿宋" w:cs="仿宋"/>
          <w:sz w:val="32"/>
          <w:szCs w:val="32"/>
        </w:rPr>
      </w:pPr>
      <w:r>
        <w:rPr>
          <w:rFonts w:hint="eastAsia" w:ascii="仿宋" w:hAnsi="仿宋" w:eastAsia="仿宋" w:cs="仿宋"/>
          <w:sz w:val="32"/>
          <w:szCs w:val="32"/>
        </w:rPr>
        <w:t>交易对手方信用风险：交易对手方可能无法履行其所应承担责任的相关风险；</w:t>
      </w:r>
    </w:p>
    <w:p>
      <w:pPr>
        <w:numPr>
          <w:ilvl w:val="0"/>
          <w:numId w:val="12"/>
        </w:numPr>
        <w:ind w:firstLine="640"/>
        <w:rPr>
          <w:rFonts w:ascii="仿宋" w:hAnsi="仿宋" w:eastAsia="仿宋" w:cs="仿宋"/>
          <w:sz w:val="32"/>
          <w:szCs w:val="32"/>
        </w:rPr>
      </w:pPr>
      <w:r>
        <w:rPr>
          <w:rFonts w:hint="eastAsia" w:ascii="仿宋" w:hAnsi="仿宋" w:eastAsia="仿宋" w:cs="仿宋"/>
          <w:sz w:val="32"/>
          <w:szCs w:val="32"/>
        </w:rPr>
        <w:t>估值风险：场外衍生品不存在如场内交易一样的竞价机制等原因导致的与实际价值不一致的风险；</w:t>
      </w:r>
    </w:p>
    <w:p>
      <w:pPr>
        <w:numPr>
          <w:ilvl w:val="0"/>
          <w:numId w:val="12"/>
        </w:numPr>
        <w:ind w:firstLine="640"/>
        <w:rPr>
          <w:rFonts w:ascii="仿宋" w:hAnsi="仿宋" w:eastAsia="仿宋" w:cs="仿宋"/>
          <w:sz w:val="32"/>
          <w:szCs w:val="32"/>
        </w:rPr>
      </w:pPr>
      <w:r>
        <w:rPr>
          <w:rFonts w:hint="eastAsia" w:ascii="仿宋" w:hAnsi="仿宋" w:eastAsia="仿宋" w:cs="仿宋"/>
          <w:sz w:val="32"/>
          <w:szCs w:val="32"/>
        </w:rPr>
        <w:t>衍生品合约的价格波动可能导致最终产品收益波动的风险；</w:t>
      </w:r>
    </w:p>
    <w:p>
      <w:pPr>
        <w:numPr>
          <w:ilvl w:val="0"/>
          <w:numId w:val="12"/>
        </w:numPr>
        <w:ind w:firstLine="640"/>
        <w:rPr>
          <w:rFonts w:ascii="仿宋" w:hAnsi="仿宋" w:eastAsia="仿宋" w:cs="仿宋"/>
          <w:sz w:val="32"/>
          <w:szCs w:val="32"/>
        </w:rPr>
      </w:pPr>
      <w:r>
        <w:rPr>
          <w:rFonts w:hint="eastAsia" w:ascii="仿宋" w:hAnsi="仿宋" w:eastAsia="仿宋" w:cs="仿宋"/>
          <w:sz w:val="32"/>
          <w:szCs w:val="32"/>
        </w:rPr>
        <w:t>挂钩标的的变化或市场中断可能造成的风险；</w:t>
      </w:r>
    </w:p>
    <w:p>
      <w:pPr>
        <w:numPr>
          <w:ilvl w:val="0"/>
          <w:numId w:val="12"/>
        </w:numPr>
        <w:ind w:firstLine="640"/>
        <w:rPr>
          <w:rFonts w:ascii="仿宋" w:hAnsi="仿宋" w:eastAsia="仿宋" w:cs="仿宋"/>
          <w:sz w:val="32"/>
          <w:szCs w:val="32"/>
        </w:rPr>
      </w:pPr>
      <w:r>
        <w:rPr>
          <w:rFonts w:hint="eastAsia" w:ascii="仿宋" w:hAnsi="仿宋" w:eastAsia="仿宋" w:cs="仿宋"/>
          <w:sz w:val="32"/>
          <w:szCs w:val="32"/>
        </w:rPr>
        <w:t>管理人认为需要揭示的其他风险。</w:t>
      </w:r>
    </w:p>
    <w:p>
      <w:pPr>
        <w:pStyle w:val="26"/>
        <w:numPr>
          <w:ilvl w:val="0"/>
          <w:numId w:val="4"/>
        </w:numPr>
        <w:ind w:left="0" w:firstLine="640"/>
      </w:pPr>
      <w:r>
        <w:rPr>
          <w:rFonts w:hint="eastAsia"/>
        </w:rPr>
        <w:t>『特殊信息披露』涉及衍生品交易的，其基金合同应当对以下情况特殊的信息披露要求进行约定，具体包括：</w:t>
      </w:r>
    </w:p>
    <w:p>
      <w:pPr>
        <w:pStyle w:val="26"/>
        <w:numPr>
          <w:ilvl w:val="0"/>
          <w:numId w:val="13"/>
        </w:numPr>
        <w:ind w:left="0" w:firstLine="640"/>
      </w:pPr>
      <w:r>
        <w:rPr>
          <w:rFonts w:hint="eastAsia"/>
        </w:rPr>
        <w:t>已确定拟投资具体标的的，管理人应当在合同中向投资者充分披露拟投资衍生品挂钩标的；具体投资标的暂未确定的，管理人应在合同中明确披露方式及时限。</w:t>
      </w:r>
    </w:p>
    <w:p>
      <w:pPr>
        <w:pStyle w:val="26"/>
        <w:numPr>
          <w:ilvl w:val="0"/>
          <w:numId w:val="13"/>
        </w:numPr>
        <w:ind w:left="0" w:firstLine="640"/>
      </w:pPr>
      <w:r>
        <w:rPr>
          <w:rFonts w:hint="eastAsia"/>
        </w:rPr>
        <w:t>合同应当明确在投资标的相关要素确定后及时向投资者进行披露，披露内容应当至少包括投资标的种类、交易对手、挂钩标的（如涉及）、交易期限（如涉及）；除前述披露内容外，产品进行场外期权投资的，应当进一步披露投资起始日、交易到期日、期初价格等交易要素。</w:t>
      </w:r>
    </w:p>
    <w:p>
      <w:pPr>
        <w:pStyle w:val="26"/>
        <w:numPr>
          <w:ilvl w:val="0"/>
          <w:numId w:val="4"/>
        </w:numPr>
        <w:ind w:left="0" w:firstLine="640"/>
      </w:pPr>
      <w:r>
        <w:rPr>
          <w:rFonts w:hint="eastAsia"/>
        </w:rPr>
        <w:t>『重大事项披露』合同应当约定对发生以下重大事项进行信息披露，具体包括：</w:t>
      </w:r>
    </w:p>
    <w:p>
      <w:pPr>
        <w:numPr>
          <w:ilvl w:val="0"/>
          <w:numId w:val="14"/>
        </w:numPr>
        <w:ind w:firstLine="640"/>
        <w:rPr>
          <w:rFonts w:ascii="仿宋" w:hAnsi="仿宋" w:eastAsia="仿宋" w:cs="仿宋"/>
          <w:sz w:val="32"/>
          <w:szCs w:val="32"/>
        </w:rPr>
      </w:pPr>
      <w:r>
        <w:rPr>
          <w:rFonts w:ascii="仿宋" w:hAnsi="仿宋" w:eastAsia="仿宋" w:cs="仿宋"/>
          <w:sz w:val="32"/>
          <w:szCs w:val="32"/>
        </w:rPr>
        <w:t>连续10个</w:t>
      </w:r>
      <w:r>
        <w:rPr>
          <w:rFonts w:hint="eastAsia" w:ascii="仿宋" w:hAnsi="仿宋" w:eastAsia="仿宋" w:cs="仿宋"/>
          <w:sz w:val="32"/>
          <w:szCs w:val="32"/>
        </w:rPr>
        <w:t>交易日</w:t>
      </w:r>
      <w:r>
        <w:rPr>
          <w:rFonts w:ascii="仿宋" w:hAnsi="仿宋" w:eastAsia="仿宋" w:cs="仿宋"/>
          <w:sz w:val="32"/>
          <w:szCs w:val="32"/>
        </w:rPr>
        <w:t>内资产净值损失20%或以上的，</w:t>
      </w:r>
      <w:r>
        <w:rPr>
          <w:rFonts w:hint="eastAsia" w:ascii="仿宋" w:hAnsi="仿宋" w:eastAsia="仿宋" w:cs="仿宋"/>
          <w:sz w:val="32"/>
          <w:szCs w:val="32"/>
        </w:rPr>
        <w:t>应在发生之日起五日内向投资者进行特别披露</w:t>
      </w:r>
      <w:r>
        <w:rPr>
          <w:rFonts w:ascii="仿宋" w:hAnsi="仿宋" w:eastAsia="仿宋" w:cs="仿宋"/>
          <w:sz w:val="32"/>
          <w:szCs w:val="32"/>
        </w:rPr>
        <w:t>。</w:t>
      </w:r>
    </w:p>
    <w:p>
      <w:pPr>
        <w:numPr>
          <w:ilvl w:val="0"/>
          <w:numId w:val="14"/>
        </w:numPr>
        <w:ind w:firstLine="640"/>
        <w:rPr>
          <w:rFonts w:ascii="仿宋" w:hAnsi="仿宋" w:eastAsia="仿宋" w:cs="仿宋"/>
          <w:sz w:val="32"/>
          <w:szCs w:val="32"/>
        </w:rPr>
      </w:pPr>
      <w:r>
        <w:rPr>
          <w:rFonts w:hint="eastAsia" w:ascii="仿宋" w:hAnsi="仿宋" w:eastAsia="仿宋" w:cs="仿宋"/>
          <w:sz w:val="32"/>
          <w:szCs w:val="32"/>
        </w:rPr>
        <w:t>因市场剧烈波动或操作事件等，导致基金保证金违约或无法满足保证金要求的，应在发生之日起五日内向投资者披露发生</w:t>
      </w:r>
      <w:r>
        <w:rPr>
          <w:rFonts w:ascii="仿宋" w:hAnsi="仿宋" w:eastAsia="仿宋" w:cs="仿宋"/>
          <w:sz w:val="32"/>
          <w:szCs w:val="32"/>
        </w:rPr>
        <w:t>日期、涉及的保证金金额、交易对手的法定名称</w:t>
      </w:r>
      <w:r>
        <w:rPr>
          <w:rFonts w:hint="eastAsia" w:ascii="仿宋" w:hAnsi="仿宋" w:eastAsia="仿宋" w:cs="仿宋"/>
          <w:sz w:val="32"/>
          <w:szCs w:val="32"/>
        </w:rPr>
        <w:t>（如有）、</w:t>
      </w:r>
      <w:r>
        <w:rPr>
          <w:rFonts w:ascii="仿宋" w:hAnsi="仿宋" w:eastAsia="仿宋" w:cs="仿宋"/>
          <w:sz w:val="32"/>
          <w:szCs w:val="32"/>
        </w:rPr>
        <w:t>以及违约情况</w:t>
      </w:r>
      <w:r>
        <w:rPr>
          <w:rFonts w:hint="eastAsia" w:ascii="仿宋" w:hAnsi="仿宋" w:eastAsia="仿宋" w:cs="仿宋"/>
          <w:sz w:val="32"/>
          <w:szCs w:val="32"/>
        </w:rPr>
        <w:t>等</w:t>
      </w:r>
      <w:r>
        <w:rPr>
          <w:rFonts w:ascii="仿宋" w:hAnsi="仿宋" w:eastAsia="仿宋" w:cs="仿宋"/>
          <w:sz w:val="32"/>
          <w:szCs w:val="32"/>
        </w:rPr>
        <w:t>。</w:t>
      </w:r>
    </w:p>
    <w:p>
      <w:pPr>
        <w:numPr>
          <w:ilvl w:val="0"/>
          <w:numId w:val="14"/>
        </w:numPr>
        <w:ind w:firstLine="640"/>
        <w:rPr>
          <w:rFonts w:ascii="仿宋" w:hAnsi="仿宋" w:eastAsia="仿宋" w:cs="仿宋"/>
          <w:sz w:val="32"/>
          <w:szCs w:val="32"/>
        </w:rPr>
      </w:pPr>
      <w:r>
        <w:rPr>
          <w:rFonts w:hint="eastAsia" w:ascii="仿宋" w:hAnsi="仿宋" w:eastAsia="仿宋" w:cs="仿宋"/>
          <w:sz w:val="32"/>
          <w:szCs w:val="32"/>
        </w:rPr>
        <w:t>涉及衍生品交易的，如果交易对手发生</w:t>
      </w:r>
      <w:r>
        <w:rPr>
          <w:rFonts w:ascii="仿宋" w:hAnsi="仿宋" w:eastAsia="仿宋" w:cs="仿宋"/>
          <w:sz w:val="32"/>
          <w:szCs w:val="32"/>
        </w:rPr>
        <w:t>违约的，</w:t>
      </w:r>
      <w:r>
        <w:rPr>
          <w:rFonts w:hint="eastAsia" w:ascii="仿宋" w:hAnsi="仿宋" w:eastAsia="仿宋" w:cs="仿宋"/>
          <w:sz w:val="32"/>
          <w:szCs w:val="32"/>
        </w:rPr>
        <w:t>且</w:t>
      </w:r>
      <w:r>
        <w:rPr>
          <w:rFonts w:ascii="仿宋" w:hAnsi="仿宋" w:eastAsia="仿宋" w:cs="仿宋"/>
          <w:sz w:val="32"/>
          <w:szCs w:val="32"/>
        </w:rPr>
        <w:t>所涉金额大于</w:t>
      </w:r>
      <w:r>
        <w:rPr>
          <w:rFonts w:hint="eastAsia" w:ascii="仿宋" w:hAnsi="仿宋" w:eastAsia="仿宋" w:cs="仿宋"/>
          <w:sz w:val="32"/>
          <w:szCs w:val="32"/>
        </w:rPr>
        <w:t>基金</w:t>
      </w:r>
      <w:r>
        <w:rPr>
          <w:rFonts w:ascii="仿宋" w:hAnsi="仿宋" w:eastAsia="仿宋" w:cs="仿宋"/>
          <w:sz w:val="32"/>
          <w:szCs w:val="32"/>
        </w:rPr>
        <w:t>资产净值5%的</w:t>
      </w:r>
      <w:r>
        <w:rPr>
          <w:rFonts w:hint="eastAsia" w:ascii="仿宋" w:hAnsi="仿宋" w:eastAsia="仿宋" w:cs="仿宋"/>
          <w:sz w:val="32"/>
          <w:szCs w:val="32"/>
        </w:rPr>
        <w:t>，应在发生之日起五日内向投资者披露</w:t>
      </w:r>
      <w:r>
        <w:rPr>
          <w:rFonts w:ascii="仿宋" w:hAnsi="仿宋" w:eastAsia="仿宋" w:cs="仿宋"/>
          <w:sz w:val="32"/>
          <w:szCs w:val="32"/>
        </w:rPr>
        <w:t>违约日期、涉及的金额、交易对手的法定名称</w:t>
      </w:r>
      <w:r>
        <w:rPr>
          <w:rFonts w:hint="eastAsia" w:ascii="仿宋" w:hAnsi="仿宋" w:eastAsia="仿宋" w:cs="仿宋"/>
          <w:sz w:val="32"/>
          <w:szCs w:val="32"/>
        </w:rPr>
        <w:t>、</w:t>
      </w:r>
      <w:r>
        <w:rPr>
          <w:rFonts w:ascii="仿宋" w:hAnsi="仿宋" w:eastAsia="仿宋" w:cs="仿宋"/>
          <w:sz w:val="32"/>
          <w:szCs w:val="32"/>
        </w:rPr>
        <w:t>以及违约情况</w:t>
      </w:r>
      <w:r>
        <w:rPr>
          <w:rFonts w:hint="eastAsia" w:ascii="仿宋" w:hAnsi="仿宋" w:eastAsia="仿宋" w:cs="仿宋"/>
          <w:sz w:val="32"/>
          <w:szCs w:val="32"/>
        </w:rPr>
        <w:t>等</w:t>
      </w:r>
      <w:r>
        <w:rPr>
          <w:rFonts w:ascii="仿宋" w:hAnsi="仿宋" w:eastAsia="仿宋" w:cs="仿宋"/>
          <w:sz w:val="32"/>
          <w:szCs w:val="32"/>
        </w:rPr>
        <w:t>。</w:t>
      </w:r>
    </w:p>
    <w:p>
      <w:pPr>
        <w:numPr>
          <w:ilvl w:val="0"/>
          <w:numId w:val="14"/>
        </w:numPr>
        <w:ind w:firstLine="640"/>
        <w:rPr>
          <w:rFonts w:ascii="仿宋" w:hAnsi="仿宋" w:eastAsia="仿宋" w:cs="仿宋"/>
          <w:sz w:val="32"/>
          <w:szCs w:val="32"/>
        </w:rPr>
      </w:pPr>
      <w:r>
        <w:rPr>
          <w:rFonts w:hint="eastAsia" w:ascii="仿宋" w:hAnsi="仿宋" w:eastAsia="仿宋" w:cs="仿宋"/>
          <w:sz w:val="32"/>
          <w:szCs w:val="32"/>
        </w:rPr>
        <w:t>管理人进行法律法规未禁止的可能涉及利益冲突的交易的，应当在发生之日五个工作日内向投资者披露交易标的、交易对手的法定名称、交易价格、定价依据以及交易的决策审议情况等相关信息</w:t>
      </w:r>
    </w:p>
    <w:p>
      <w:pPr>
        <w:numPr>
          <w:ilvl w:val="0"/>
          <w:numId w:val="14"/>
        </w:numPr>
        <w:ind w:firstLine="640"/>
        <w:rPr>
          <w:rFonts w:ascii="仿宋" w:hAnsi="仿宋" w:eastAsia="仿宋" w:cs="仿宋"/>
          <w:sz w:val="32"/>
          <w:szCs w:val="32"/>
        </w:rPr>
      </w:pPr>
      <w:r>
        <w:rPr>
          <w:rFonts w:ascii="仿宋" w:hAnsi="仿宋" w:eastAsia="仿宋" w:cs="仿宋"/>
          <w:sz w:val="32"/>
          <w:szCs w:val="32"/>
        </w:rPr>
        <w:t>影响投资者利益的其他重大事项。</w:t>
      </w:r>
    </w:p>
    <w:p>
      <w:pPr>
        <w:pStyle w:val="26"/>
        <w:numPr>
          <w:ilvl w:val="0"/>
          <w:numId w:val="4"/>
        </w:numPr>
        <w:ind w:left="0" w:firstLine="640"/>
      </w:pPr>
      <w:r>
        <w:rPr>
          <w:rFonts w:hint="eastAsia"/>
        </w:rPr>
        <w:t>『底线性行为』合同中应当明确，不对投资者实施任何欺诈违法操作，不在合同签署前后及基金运行过程中的宣传材料、定期或不定期报告等中做虚假陈述或误导性陈述。</w:t>
      </w:r>
    </w:p>
    <w:p>
      <w:pPr>
        <w:pStyle w:val="26"/>
        <w:numPr>
          <w:ilvl w:val="0"/>
          <w:numId w:val="4"/>
        </w:numPr>
        <w:ind w:left="0" w:firstLine="640"/>
      </w:pPr>
      <w:r>
        <w:rPr>
          <w:rFonts w:hint="eastAsia"/>
        </w:rPr>
        <w:t>本指引由中国期货业协会负责解释，自</w:t>
      </w:r>
      <w:r>
        <w:t>X年X月X日起施行。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B0604020202020204"/>
    <w:charset w:val="86"/>
    <w:family w:val="modern"/>
    <w:pitch w:val="default"/>
    <w:sig w:usb0="00000000" w:usb1="00000000" w:usb2="00000019" w:usb3="00000000" w:csb0="0004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784422693"/>
      <w:docPartObj>
        <w:docPartGallery w:val="AutoText"/>
      </w:docPartObj>
    </w:sdtPr>
    <w:sdtEndPr>
      <w:rPr>
        <w:rStyle w:val="13"/>
      </w:rPr>
    </w:sdtEndPr>
    <w:sdtContent>
      <w:p>
        <w:pPr>
          <w:pStyle w:val="6"/>
          <w:framePr w:wrap="auto" w:vAnchor="text" w:hAnchor="margin" w:xAlign="center" w:y="1"/>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939220"/>
      <w:docPartObj>
        <w:docPartGallery w:val="AutoText"/>
      </w:docPartObj>
    </w:sdtPr>
    <w:sdtEndPr>
      <w:rPr>
        <w:rStyle w:val="13"/>
      </w:rPr>
    </w:sdtEndPr>
    <w:sdtContent>
      <w:p>
        <w:pPr>
          <w:pStyle w:val="6"/>
          <w:framePr w:wrap="auto" w:vAnchor="text" w:hAnchor="margin" w:xAlign="center" w:y="1"/>
          <w:rPr>
            <w:rStyle w:val="13"/>
          </w:rPr>
        </w:pPr>
        <w:r>
          <w:rPr>
            <w:rStyle w:val="13"/>
          </w:rPr>
          <w:fldChar w:fldCharType="begin"/>
        </w:r>
        <w:r>
          <w:rPr>
            <w:rStyle w:val="13"/>
          </w:rPr>
          <w:instrText xml:space="preserve"> PAGE </w:instrText>
        </w:r>
        <w:r>
          <w:rPr>
            <w:rStyle w:val="13"/>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6487B"/>
    <w:multiLevelType w:val="singleLevel"/>
    <w:tmpl w:val="9286487B"/>
    <w:lvl w:ilvl="0" w:tentative="0">
      <w:start w:val="1"/>
      <w:numFmt w:val="chineseCounting"/>
      <w:lvlText w:val="第%1条"/>
      <w:lvlJc w:val="left"/>
      <w:pPr>
        <w:ind w:left="2000" w:hanging="440"/>
      </w:pPr>
      <w:rPr>
        <w:rFonts w:hint="eastAsia" w:ascii="仿宋" w:hAnsi="仿宋" w:eastAsia="仿宋"/>
        <w:b/>
        <w:bCs/>
      </w:rPr>
    </w:lvl>
  </w:abstractNum>
  <w:abstractNum w:abstractNumId="1">
    <w:nsid w:val="0BF1C012"/>
    <w:multiLevelType w:val="singleLevel"/>
    <w:tmpl w:val="0BF1C012"/>
    <w:lvl w:ilvl="0" w:tentative="0">
      <w:start w:val="1"/>
      <w:numFmt w:val="chineseCounting"/>
      <w:suff w:val="nothing"/>
      <w:lvlText w:val="（%1）"/>
      <w:lvlJc w:val="left"/>
      <w:pPr>
        <w:ind w:left="0" w:firstLine="420"/>
      </w:pPr>
      <w:rPr>
        <w:rFonts w:hint="eastAsia"/>
      </w:rPr>
    </w:lvl>
  </w:abstractNum>
  <w:abstractNum w:abstractNumId="2">
    <w:nsid w:val="1BEA276A"/>
    <w:multiLevelType w:val="multilevel"/>
    <w:tmpl w:val="1BEA276A"/>
    <w:lvl w:ilvl="0" w:tentative="0">
      <w:start w:val="1"/>
      <w:numFmt w:val="chineseCountingThousand"/>
      <w:lvlText w:val="(%1)"/>
      <w:lvlJc w:val="left"/>
      <w:pPr>
        <w:ind w:left="866" w:hanging="440"/>
      </w:pPr>
      <w:rPr>
        <w:rFonts w:ascii="仿宋" w:hAnsi="仿宋" w:eastAsia="仿宋"/>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2EF82EAB"/>
    <w:multiLevelType w:val="multilevel"/>
    <w:tmpl w:val="2EF82EAB"/>
    <w:lvl w:ilvl="0" w:tentative="0">
      <w:start w:val="1"/>
      <w:numFmt w:val="chineseCountingThousand"/>
      <w:lvlText w:val="(%1)"/>
      <w:lvlJc w:val="left"/>
      <w:pPr>
        <w:ind w:left="866" w:hanging="440"/>
      </w:pPr>
      <w:rPr>
        <w:rFonts w:ascii="仿宋" w:hAnsi="仿宋" w:eastAsia="仿宋"/>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4">
    <w:nsid w:val="3AFF01FC"/>
    <w:multiLevelType w:val="multilevel"/>
    <w:tmpl w:val="3AFF01FC"/>
    <w:lvl w:ilvl="0" w:tentative="0">
      <w:start w:val="1"/>
      <w:numFmt w:val="chineseCountingThousand"/>
      <w:lvlText w:val="(%1)"/>
      <w:lvlJc w:val="left"/>
      <w:pPr>
        <w:ind w:left="866" w:hanging="440"/>
      </w:pPr>
      <w:rPr>
        <w:rFonts w:ascii="仿宋" w:hAnsi="仿宋" w:eastAsia="仿宋"/>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5">
    <w:nsid w:val="41370EC9"/>
    <w:multiLevelType w:val="multilevel"/>
    <w:tmpl w:val="41370EC9"/>
    <w:lvl w:ilvl="0" w:tentative="0">
      <w:start w:val="1"/>
      <w:numFmt w:val="decimal"/>
      <w:pStyle w:val="30"/>
      <w:lvlText w:val="%1."/>
      <w:lvlJc w:val="left"/>
      <w:pPr>
        <w:ind w:left="0" w:firstLine="0"/>
      </w:pPr>
      <w:rPr>
        <w:rFonts w:hint="eastAsia" w:ascii="仿宋" w:hAnsi="仿宋" w:eastAsia="仿宋"/>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C772DC"/>
    <w:multiLevelType w:val="multilevel"/>
    <w:tmpl w:val="46C772DC"/>
    <w:lvl w:ilvl="0" w:tentative="0">
      <w:start w:val="1"/>
      <w:numFmt w:val="chineseCountingThousand"/>
      <w:lvlText w:val="(%1)"/>
      <w:lvlJc w:val="left"/>
      <w:pPr>
        <w:ind w:left="866" w:hanging="440"/>
      </w:pPr>
      <w:rPr>
        <w:rFonts w:ascii="仿宋" w:hAnsi="仿宋" w:eastAsia="仿宋"/>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7">
    <w:nsid w:val="47263375"/>
    <w:multiLevelType w:val="multilevel"/>
    <w:tmpl w:val="47263375"/>
    <w:lvl w:ilvl="0" w:tentative="0">
      <w:start w:val="1"/>
      <w:numFmt w:val="chineseCountingThousand"/>
      <w:lvlText w:val="(%1)"/>
      <w:lvlJc w:val="left"/>
      <w:pPr>
        <w:ind w:left="866" w:hanging="440"/>
      </w:pPr>
      <w:rPr>
        <w:rFonts w:ascii="仿宋" w:hAnsi="仿宋" w:eastAsia="仿宋"/>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8">
    <w:nsid w:val="5100274D"/>
    <w:multiLevelType w:val="multilevel"/>
    <w:tmpl w:val="5100274D"/>
    <w:lvl w:ilvl="0" w:tentative="0">
      <w:start w:val="1"/>
      <w:numFmt w:val="chineseCountingThousand"/>
      <w:lvlText w:val="(%1)"/>
      <w:lvlJc w:val="left"/>
      <w:pPr>
        <w:ind w:left="866"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9">
    <w:nsid w:val="5EE70709"/>
    <w:multiLevelType w:val="singleLevel"/>
    <w:tmpl w:val="5EE70709"/>
    <w:lvl w:ilvl="0" w:tentative="0">
      <w:start w:val="1"/>
      <w:numFmt w:val="chineseCounting"/>
      <w:suff w:val="nothing"/>
      <w:lvlText w:val="（%1）"/>
      <w:lvlJc w:val="left"/>
      <w:pPr>
        <w:ind w:left="0" w:firstLine="420"/>
      </w:pPr>
      <w:rPr>
        <w:rFonts w:hint="eastAsia"/>
      </w:rPr>
    </w:lvl>
  </w:abstractNum>
  <w:abstractNum w:abstractNumId="10">
    <w:nsid w:val="5F463F9F"/>
    <w:multiLevelType w:val="singleLevel"/>
    <w:tmpl w:val="5F463F9F"/>
    <w:lvl w:ilvl="0" w:tentative="0">
      <w:start w:val="1"/>
      <w:numFmt w:val="chineseCounting"/>
      <w:suff w:val="nothing"/>
      <w:lvlText w:val="（%1）"/>
      <w:lvlJc w:val="left"/>
      <w:pPr>
        <w:ind w:left="0" w:firstLine="420"/>
      </w:pPr>
      <w:rPr>
        <w:rFonts w:hint="eastAsia"/>
      </w:rPr>
    </w:lvl>
  </w:abstractNum>
  <w:abstractNum w:abstractNumId="11">
    <w:nsid w:val="6B475ECC"/>
    <w:multiLevelType w:val="multilevel"/>
    <w:tmpl w:val="6B475ECC"/>
    <w:lvl w:ilvl="0" w:tentative="0">
      <w:start w:val="1"/>
      <w:numFmt w:val="chineseCountingThousand"/>
      <w:pStyle w:val="29"/>
      <w:lvlText w:val="(%1)"/>
      <w:lvlJc w:val="left"/>
      <w:pPr>
        <w:ind w:left="0" w:firstLine="0"/>
      </w:pPr>
      <w:rPr>
        <w:rFonts w:hint="eastAsia" w:ascii="楷体" w:hAnsi="楷体" w:eastAsia="楷体"/>
        <w:b w:val="0"/>
        <w:i w:val="0"/>
        <w:w w:val="10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03D1516"/>
    <w:multiLevelType w:val="multilevel"/>
    <w:tmpl w:val="703D1516"/>
    <w:lvl w:ilvl="0" w:tentative="0">
      <w:start w:val="1"/>
      <w:numFmt w:val="chineseCountingThousand"/>
      <w:lvlText w:val="(%1)"/>
      <w:lvlJc w:val="left"/>
      <w:pPr>
        <w:ind w:left="866"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3">
    <w:nsid w:val="7488475D"/>
    <w:multiLevelType w:val="multilevel"/>
    <w:tmpl w:val="7488475D"/>
    <w:lvl w:ilvl="0" w:tentative="0">
      <w:start w:val="1"/>
      <w:numFmt w:val="chineseCountingThousand"/>
      <w:pStyle w:val="28"/>
      <w:lvlText w:val="%1、"/>
      <w:lvlJc w:val="left"/>
      <w:pPr>
        <w:ind w:left="0" w:firstLine="0"/>
      </w:pPr>
      <w:rPr>
        <w:rFonts w:hint="eastAsia" w:ascii="黑体" w:hAnsi="黑体" w:eastAsia="黑体"/>
        <w:b w:val="0"/>
        <w:bCs/>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11"/>
  </w:num>
  <w:num w:numId="3">
    <w:abstractNumId w:val="5"/>
  </w:num>
  <w:num w:numId="4">
    <w:abstractNumId w:val="0"/>
  </w:num>
  <w:num w:numId="5">
    <w:abstractNumId w:val="8"/>
  </w:num>
  <w:num w:numId="6">
    <w:abstractNumId w:val="12"/>
  </w:num>
  <w:num w:numId="7">
    <w:abstractNumId w:val="3"/>
  </w:num>
  <w:num w:numId="8">
    <w:abstractNumId w:val="7"/>
  </w:num>
  <w:num w:numId="9">
    <w:abstractNumId w:val="4"/>
  </w:num>
  <w:num w:numId="10">
    <w:abstractNumId w:val="2"/>
  </w:num>
  <w:num w:numId="11">
    <w:abstractNumId w:val="1"/>
  </w:num>
  <w:num w:numId="12">
    <w:abstractNumId w:val="1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55"/>
    <w:rsid w:val="000273BE"/>
    <w:rsid w:val="00030900"/>
    <w:rsid w:val="00032921"/>
    <w:rsid w:val="00034232"/>
    <w:rsid w:val="00060EE2"/>
    <w:rsid w:val="000662C2"/>
    <w:rsid w:val="0007232C"/>
    <w:rsid w:val="0008180F"/>
    <w:rsid w:val="00081E63"/>
    <w:rsid w:val="000952EB"/>
    <w:rsid w:val="000A7902"/>
    <w:rsid w:val="000C06D5"/>
    <w:rsid w:val="000C092A"/>
    <w:rsid w:val="000C1480"/>
    <w:rsid w:val="000E09D7"/>
    <w:rsid w:val="00141B7D"/>
    <w:rsid w:val="00146D1A"/>
    <w:rsid w:val="00165831"/>
    <w:rsid w:val="0016710D"/>
    <w:rsid w:val="00193B6C"/>
    <w:rsid w:val="001C66C9"/>
    <w:rsid w:val="001E0723"/>
    <w:rsid w:val="00202CBF"/>
    <w:rsid w:val="00212FD8"/>
    <w:rsid w:val="002530FE"/>
    <w:rsid w:val="00282F56"/>
    <w:rsid w:val="002A493D"/>
    <w:rsid w:val="002A6ABA"/>
    <w:rsid w:val="002B54E1"/>
    <w:rsid w:val="00311C1F"/>
    <w:rsid w:val="00312623"/>
    <w:rsid w:val="0031386F"/>
    <w:rsid w:val="00315C57"/>
    <w:rsid w:val="00330348"/>
    <w:rsid w:val="003354ED"/>
    <w:rsid w:val="003644E4"/>
    <w:rsid w:val="00377742"/>
    <w:rsid w:val="003A11D9"/>
    <w:rsid w:val="003A2D03"/>
    <w:rsid w:val="003B5656"/>
    <w:rsid w:val="003D486A"/>
    <w:rsid w:val="004021D9"/>
    <w:rsid w:val="00407E53"/>
    <w:rsid w:val="00426B60"/>
    <w:rsid w:val="0043208D"/>
    <w:rsid w:val="004356D4"/>
    <w:rsid w:val="00437107"/>
    <w:rsid w:val="00442545"/>
    <w:rsid w:val="00476BCA"/>
    <w:rsid w:val="004D6908"/>
    <w:rsid w:val="004E3415"/>
    <w:rsid w:val="004F461D"/>
    <w:rsid w:val="005245A9"/>
    <w:rsid w:val="00530729"/>
    <w:rsid w:val="00534273"/>
    <w:rsid w:val="00544E30"/>
    <w:rsid w:val="00555636"/>
    <w:rsid w:val="00587AB3"/>
    <w:rsid w:val="00592697"/>
    <w:rsid w:val="005B2509"/>
    <w:rsid w:val="005B36A2"/>
    <w:rsid w:val="005D7F44"/>
    <w:rsid w:val="005E4EB8"/>
    <w:rsid w:val="005F750D"/>
    <w:rsid w:val="0060093E"/>
    <w:rsid w:val="00600C50"/>
    <w:rsid w:val="006104CB"/>
    <w:rsid w:val="006376D0"/>
    <w:rsid w:val="006453E6"/>
    <w:rsid w:val="00674BF2"/>
    <w:rsid w:val="0068481E"/>
    <w:rsid w:val="00696EF7"/>
    <w:rsid w:val="006B077A"/>
    <w:rsid w:val="006B76C8"/>
    <w:rsid w:val="006C1228"/>
    <w:rsid w:val="006D6196"/>
    <w:rsid w:val="006E6E55"/>
    <w:rsid w:val="006F4CE4"/>
    <w:rsid w:val="007208FE"/>
    <w:rsid w:val="007365AC"/>
    <w:rsid w:val="00762A99"/>
    <w:rsid w:val="0079306F"/>
    <w:rsid w:val="007A4787"/>
    <w:rsid w:val="007B3162"/>
    <w:rsid w:val="007C5F51"/>
    <w:rsid w:val="007D4274"/>
    <w:rsid w:val="007F16B8"/>
    <w:rsid w:val="00803BCA"/>
    <w:rsid w:val="008104CB"/>
    <w:rsid w:val="00840507"/>
    <w:rsid w:val="0085262E"/>
    <w:rsid w:val="00857AF6"/>
    <w:rsid w:val="00890712"/>
    <w:rsid w:val="008A0D5F"/>
    <w:rsid w:val="008A734E"/>
    <w:rsid w:val="008D08A9"/>
    <w:rsid w:val="0090012C"/>
    <w:rsid w:val="00943052"/>
    <w:rsid w:val="00946DB4"/>
    <w:rsid w:val="00946E38"/>
    <w:rsid w:val="00956B97"/>
    <w:rsid w:val="00964ECE"/>
    <w:rsid w:val="00995241"/>
    <w:rsid w:val="00997256"/>
    <w:rsid w:val="009A50B4"/>
    <w:rsid w:val="009A6C5F"/>
    <w:rsid w:val="009C75E8"/>
    <w:rsid w:val="009E3561"/>
    <w:rsid w:val="009F3CB1"/>
    <w:rsid w:val="00A037C4"/>
    <w:rsid w:val="00A106B1"/>
    <w:rsid w:val="00A219E4"/>
    <w:rsid w:val="00A24B3F"/>
    <w:rsid w:val="00A373F4"/>
    <w:rsid w:val="00A433E0"/>
    <w:rsid w:val="00A47EB9"/>
    <w:rsid w:val="00A52289"/>
    <w:rsid w:val="00A6652B"/>
    <w:rsid w:val="00A83A65"/>
    <w:rsid w:val="00A86875"/>
    <w:rsid w:val="00AA79D6"/>
    <w:rsid w:val="00AB074A"/>
    <w:rsid w:val="00AB5903"/>
    <w:rsid w:val="00AD3AD6"/>
    <w:rsid w:val="00AD484C"/>
    <w:rsid w:val="00AF4139"/>
    <w:rsid w:val="00AF448C"/>
    <w:rsid w:val="00B220AE"/>
    <w:rsid w:val="00B22775"/>
    <w:rsid w:val="00B24FFD"/>
    <w:rsid w:val="00B370C4"/>
    <w:rsid w:val="00B37495"/>
    <w:rsid w:val="00B41138"/>
    <w:rsid w:val="00B46799"/>
    <w:rsid w:val="00B47266"/>
    <w:rsid w:val="00B5497E"/>
    <w:rsid w:val="00B66FF2"/>
    <w:rsid w:val="00B73ADF"/>
    <w:rsid w:val="00B91AD4"/>
    <w:rsid w:val="00B9631A"/>
    <w:rsid w:val="00BC2290"/>
    <w:rsid w:val="00BD4292"/>
    <w:rsid w:val="00C0451B"/>
    <w:rsid w:val="00C242B4"/>
    <w:rsid w:val="00C42555"/>
    <w:rsid w:val="00C6796F"/>
    <w:rsid w:val="00C85869"/>
    <w:rsid w:val="00C911C1"/>
    <w:rsid w:val="00C95137"/>
    <w:rsid w:val="00C95996"/>
    <w:rsid w:val="00CC2C30"/>
    <w:rsid w:val="00CD21AB"/>
    <w:rsid w:val="00CD288D"/>
    <w:rsid w:val="00D03ECA"/>
    <w:rsid w:val="00D41E7F"/>
    <w:rsid w:val="00D44986"/>
    <w:rsid w:val="00D47315"/>
    <w:rsid w:val="00D7738B"/>
    <w:rsid w:val="00DB7EB8"/>
    <w:rsid w:val="00DC24B0"/>
    <w:rsid w:val="00DD0E47"/>
    <w:rsid w:val="00DD3755"/>
    <w:rsid w:val="00DE7E0C"/>
    <w:rsid w:val="00E12924"/>
    <w:rsid w:val="00E17A3C"/>
    <w:rsid w:val="00E4226B"/>
    <w:rsid w:val="00E44894"/>
    <w:rsid w:val="00E66C52"/>
    <w:rsid w:val="00E701C2"/>
    <w:rsid w:val="00EB4380"/>
    <w:rsid w:val="00EC6867"/>
    <w:rsid w:val="00ED3FB6"/>
    <w:rsid w:val="00EE22CF"/>
    <w:rsid w:val="00EF04B7"/>
    <w:rsid w:val="00F2072A"/>
    <w:rsid w:val="00F37A83"/>
    <w:rsid w:val="00F45D16"/>
    <w:rsid w:val="00F53432"/>
    <w:rsid w:val="00F60434"/>
    <w:rsid w:val="00F7381F"/>
    <w:rsid w:val="00F87BA2"/>
    <w:rsid w:val="00FB00F8"/>
    <w:rsid w:val="00FB2DDE"/>
    <w:rsid w:val="00FC1989"/>
    <w:rsid w:val="00FD55B5"/>
    <w:rsid w:val="00FE57AB"/>
    <w:rsid w:val="01895A7D"/>
    <w:rsid w:val="019A5779"/>
    <w:rsid w:val="01C20E47"/>
    <w:rsid w:val="01CB3498"/>
    <w:rsid w:val="01EA0BF0"/>
    <w:rsid w:val="0212636B"/>
    <w:rsid w:val="021B09FC"/>
    <w:rsid w:val="02D0336B"/>
    <w:rsid w:val="0377237B"/>
    <w:rsid w:val="03922C87"/>
    <w:rsid w:val="04094ADF"/>
    <w:rsid w:val="044F2C07"/>
    <w:rsid w:val="04636160"/>
    <w:rsid w:val="0493080E"/>
    <w:rsid w:val="04A36D66"/>
    <w:rsid w:val="05FC3A4B"/>
    <w:rsid w:val="0675032E"/>
    <w:rsid w:val="074C5949"/>
    <w:rsid w:val="079E1344"/>
    <w:rsid w:val="09247951"/>
    <w:rsid w:val="093F33C8"/>
    <w:rsid w:val="094676AE"/>
    <w:rsid w:val="095B6E44"/>
    <w:rsid w:val="09734ED7"/>
    <w:rsid w:val="09C51663"/>
    <w:rsid w:val="09C92E88"/>
    <w:rsid w:val="0AB26CD7"/>
    <w:rsid w:val="0AC335AF"/>
    <w:rsid w:val="0AD77008"/>
    <w:rsid w:val="0AF82356"/>
    <w:rsid w:val="0B2A154C"/>
    <w:rsid w:val="0CC07CB2"/>
    <w:rsid w:val="0E8C5667"/>
    <w:rsid w:val="0F4C0087"/>
    <w:rsid w:val="0F9C3F52"/>
    <w:rsid w:val="0FAE0931"/>
    <w:rsid w:val="10D629E0"/>
    <w:rsid w:val="11785C1A"/>
    <w:rsid w:val="119E7B95"/>
    <w:rsid w:val="11F53CC4"/>
    <w:rsid w:val="12F04733"/>
    <w:rsid w:val="13092687"/>
    <w:rsid w:val="139C4B4B"/>
    <w:rsid w:val="1401111B"/>
    <w:rsid w:val="14F872B7"/>
    <w:rsid w:val="153D5127"/>
    <w:rsid w:val="161E4E9D"/>
    <w:rsid w:val="17A054CC"/>
    <w:rsid w:val="17A33555"/>
    <w:rsid w:val="180D7176"/>
    <w:rsid w:val="185866EF"/>
    <w:rsid w:val="187452FB"/>
    <w:rsid w:val="188840C3"/>
    <w:rsid w:val="18CE36B3"/>
    <w:rsid w:val="18F445EA"/>
    <w:rsid w:val="191658ED"/>
    <w:rsid w:val="194C6907"/>
    <w:rsid w:val="19A74704"/>
    <w:rsid w:val="1A895D7D"/>
    <w:rsid w:val="1BB03EC5"/>
    <w:rsid w:val="1BD4181B"/>
    <w:rsid w:val="1BD46706"/>
    <w:rsid w:val="1BF16886"/>
    <w:rsid w:val="1C15133B"/>
    <w:rsid w:val="1CC74FBE"/>
    <w:rsid w:val="1CCB0133"/>
    <w:rsid w:val="1CFE22B6"/>
    <w:rsid w:val="1D3E506F"/>
    <w:rsid w:val="1D4859D4"/>
    <w:rsid w:val="1DC72043"/>
    <w:rsid w:val="1E566920"/>
    <w:rsid w:val="1E855225"/>
    <w:rsid w:val="1E99724F"/>
    <w:rsid w:val="1F4163A1"/>
    <w:rsid w:val="1F993B72"/>
    <w:rsid w:val="1FBD52BF"/>
    <w:rsid w:val="200F6A47"/>
    <w:rsid w:val="209D0AB4"/>
    <w:rsid w:val="210A5C7B"/>
    <w:rsid w:val="21643D2E"/>
    <w:rsid w:val="21A552A6"/>
    <w:rsid w:val="21A97C48"/>
    <w:rsid w:val="21C2185E"/>
    <w:rsid w:val="21D105EC"/>
    <w:rsid w:val="22477E69"/>
    <w:rsid w:val="23046A19"/>
    <w:rsid w:val="234B2D3E"/>
    <w:rsid w:val="236E1640"/>
    <w:rsid w:val="238A47A1"/>
    <w:rsid w:val="244B4F61"/>
    <w:rsid w:val="25436913"/>
    <w:rsid w:val="256C027E"/>
    <w:rsid w:val="25C03DCE"/>
    <w:rsid w:val="26605B37"/>
    <w:rsid w:val="26690F4A"/>
    <w:rsid w:val="266A41F1"/>
    <w:rsid w:val="267041F2"/>
    <w:rsid w:val="267434EB"/>
    <w:rsid w:val="2715124E"/>
    <w:rsid w:val="28EF3464"/>
    <w:rsid w:val="29077719"/>
    <w:rsid w:val="29862334"/>
    <w:rsid w:val="29CA08E1"/>
    <w:rsid w:val="2A313A0C"/>
    <w:rsid w:val="2AE64DA2"/>
    <w:rsid w:val="2B171302"/>
    <w:rsid w:val="2B402997"/>
    <w:rsid w:val="2B4A02E2"/>
    <w:rsid w:val="2B6476D8"/>
    <w:rsid w:val="2BD8364A"/>
    <w:rsid w:val="2C817844"/>
    <w:rsid w:val="2CAA62A9"/>
    <w:rsid w:val="2D551860"/>
    <w:rsid w:val="2D661AA6"/>
    <w:rsid w:val="2DAC3C12"/>
    <w:rsid w:val="2DB32F63"/>
    <w:rsid w:val="2E0139D6"/>
    <w:rsid w:val="2E1B1F27"/>
    <w:rsid w:val="2E421AA5"/>
    <w:rsid w:val="2E5B463E"/>
    <w:rsid w:val="2EA1452D"/>
    <w:rsid w:val="2EDA4032"/>
    <w:rsid w:val="2F154A50"/>
    <w:rsid w:val="2F297CCE"/>
    <w:rsid w:val="2F734851"/>
    <w:rsid w:val="2FC23B4E"/>
    <w:rsid w:val="2FEC560B"/>
    <w:rsid w:val="30183C63"/>
    <w:rsid w:val="308A41DA"/>
    <w:rsid w:val="314420F0"/>
    <w:rsid w:val="31910B0E"/>
    <w:rsid w:val="32450382"/>
    <w:rsid w:val="33734D9D"/>
    <w:rsid w:val="338727EF"/>
    <w:rsid w:val="33A779D6"/>
    <w:rsid w:val="34891A24"/>
    <w:rsid w:val="34C451F3"/>
    <w:rsid w:val="35004AE8"/>
    <w:rsid w:val="350B3D29"/>
    <w:rsid w:val="35D77AB4"/>
    <w:rsid w:val="36271AD0"/>
    <w:rsid w:val="362D638F"/>
    <w:rsid w:val="363214B7"/>
    <w:rsid w:val="36CB2952"/>
    <w:rsid w:val="370B7023"/>
    <w:rsid w:val="374516B2"/>
    <w:rsid w:val="37C13E93"/>
    <w:rsid w:val="38015D22"/>
    <w:rsid w:val="3819464A"/>
    <w:rsid w:val="38490931"/>
    <w:rsid w:val="38877DAA"/>
    <w:rsid w:val="38A51018"/>
    <w:rsid w:val="38C155F0"/>
    <w:rsid w:val="39365DFF"/>
    <w:rsid w:val="39977B15"/>
    <w:rsid w:val="3A1253B4"/>
    <w:rsid w:val="3A4C5BE6"/>
    <w:rsid w:val="3AB75C4D"/>
    <w:rsid w:val="3BBB0854"/>
    <w:rsid w:val="3BCD789B"/>
    <w:rsid w:val="3BE57F3E"/>
    <w:rsid w:val="3C244482"/>
    <w:rsid w:val="3CEE2112"/>
    <w:rsid w:val="3CF312A4"/>
    <w:rsid w:val="3D4C6CF4"/>
    <w:rsid w:val="3D6D31CF"/>
    <w:rsid w:val="3D793BCD"/>
    <w:rsid w:val="3E19018C"/>
    <w:rsid w:val="3E9D20B3"/>
    <w:rsid w:val="3E9E3710"/>
    <w:rsid w:val="3F8C34D2"/>
    <w:rsid w:val="3FB56036"/>
    <w:rsid w:val="3FE40AD5"/>
    <w:rsid w:val="409B0E95"/>
    <w:rsid w:val="40AB678A"/>
    <w:rsid w:val="40BA663C"/>
    <w:rsid w:val="40CF3082"/>
    <w:rsid w:val="418B040D"/>
    <w:rsid w:val="41D50074"/>
    <w:rsid w:val="41D8713A"/>
    <w:rsid w:val="421A36D6"/>
    <w:rsid w:val="42774B59"/>
    <w:rsid w:val="42D00596"/>
    <w:rsid w:val="42EC50C7"/>
    <w:rsid w:val="43CC2F85"/>
    <w:rsid w:val="44354937"/>
    <w:rsid w:val="446D40CC"/>
    <w:rsid w:val="45293022"/>
    <w:rsid w:val="459569B4"/>
    <w:rsid w:val="465E7B22"/>
    <w:rsid w:val="47646C18"/>
    <w:rsid w:val="47F86A4F"/>
    <w:rsid w:val="4834737C"/>
    <w:rsid w:val="484A4611"/>
    <w:rsid w:val="48BE5428"/>
    <w:rsid w:val="48DB7836"/>
    <w:rsid w:val="48FC264F"/>
    <w:rsid w:val="491703A6"/>
    <w:rsid w:val="49455B62"/>
    <w:rsid w:val="49C216E6"/>
    <w:rsid w:val="4A681DDD"/>
    <w:rsid w:val="4ACA78BA"/>
    <w:rsid w:val="4B611989"/>
    <w:rsid w:val="4BCE586E"/>
    <w:rsid w:val="4CAF35A6"/>
    <w:rsid w:val="4CC50C39"/>
    <w:rsid w:val="4D7C5895"/>
    <w:rsid w:val="4DE62073"/>
    <w:rsid w:val="4E7F2C20"/>
    <w:rsid w:val="4E87072E"/>
    <w:rsid w:val="4EAF042B"/>
    <w:rsid w:val="4F483833"/>
    <w:rsid w:val="4F935578"/>
    <w:rsid w:val="4F9B274F"/>
    <w:rsid w:val="50370754"/>
    <w:rsid w:val="50547931"/>
    <w:rsid w:val="50CC6509"/>
    <w:rsid w:val="513443C9"/>
    <w:rsid w:val="51430C33"/>
    <w:rsid w:val="51461498"/>
    <w:rsid w:val="51A03917"/>
    <w:rsid w:val="51D6556C"/>
    <w:rsid w:val="52103E27"/>
    <w:rsid w:val="53587223"/>
    <w:rsid w:val="53C341CB"/>
    <w:rsid w:val="54DC1BD6"/>
    <w:rsid w:val="55263EF0"/>
    <w:rsid w:val="552D5A9A"/>
    <w:rsid w:val="5573251C"/>
    <w:rsid w:val="55C15125"/>
    <w:rsid w:val="55E54153"/>
    <w:rsid w:val="55F75C40"/>
    <w:rsid w:val="57750456"/>
    <w:rsid w:val="584B3C5B"/>
    <w:rsid w:val="58792400"/>
    <w:rsid w:val="590E10AA"/>
    <w:rsid w:val="5A145B41"/>
    <w:rsid w:val="5A4A3CE4"/>
    <w:rsid w:val="5A583E1D"/>
    <w:rsid w:val="5A89547F"/>
    <w:rsid w:val="5B34315F"/>
    <w:rsid w:val="5B513531"/>
    <w:rsid w:val="5B624BCF"/>
    <w:rsid w:val="5BBF4761"/>
    <w:rsid w:val="5C3263C8"/>
    <w:rsid w:val="5D24575E"/>
    <w:rsid w:val="5D7442F2"/>
    <w:rsid w:val="5DCB48CC"/>
    <w:rsid w:val="5DCD6FD2"/>
    <w:rsid w:val="5E783F49"/>
    <w:rsid w:val="5F0B690A"/>
    <w:rsid w:val="5F7E7494"/>
    <w:rsid w:val="5FB74085"/>
    <w:rsid w:val="5FF564B2"/>
    <w:rsid w:val="602E704D"/>
    <w:rsid w:val="6066616D"/>
    <w:rsid w:val="607C6733"/>
    <w:rsid w:val="61F6082A"/>
    <w:rsid w:val="6230659D"/>
    <w:rsid w:val="63670159"/>
    <w:rsid w:val="64295E71"/>
    <w:rsid w:val="64846ED7"/>
    <w:rsid w:val="648B4B0B"/>
    <w:rsid w:val="64B06393"/>
    <w:rsid w:val="65232FFD"/>
    <w:rsid w:val="65561FA4"/>
    <w:rsid w:val="663953D5"/>
    <w:rsid w:val="671E740E"/>
    <w:rsid w:val="67B85D32"/>
    <w:rsid w:val="67D12A00"/>
    <w:rsid w:val="681146AB"/>
    <w:rsid w:val="68AA11CC"/>
    <w:rsid w:val="68F0389B"/>
    <w:rsid w:val="690F6773"/>
    <w:rsid w:val="698E10F3"/>
    <w:rsid w:val="69BB6074"/>
    <w:rsid w:val="69D05608"/>
    <w:rsid w:val="6A1307CF"/>
    <w:rsid w:val="6A996FB1"/>
    <w:rsid w:val="6ACE61E4"/>
    <w:rsid w:val="6B0730D5"/>
    <w:rsid w:val="6B392A65"/>
    <w:rsid w:val="6B935656"/>
    <w:rsid w:val="6BA72B85"/>
    <w:rsid w:val="6BF441E0"/>
    <w:rsid w:val="6C3F11F3"/>
    <w:rsid w:val="6C564F68"/>
    <w:rsid w:val="6CC64933"/>
    <w:rsid w:val="6D215D3F"/>
    <w:rsid w:val="6E252ADB"/>
    <w:rsid w:val="6E420D5C"/>
    <w:rsid w:val="6EC63833"/>
    <w:rsid w:val="6F151DE9"/>
    <w:rsid w:val="6F89357D"/>
    <w:rsid w:val="6FA4645E"/>
    <w:rsid w:val="6FBD539E"/>
    <w:rsid w:val="70E251C9"/>
    <w:rsid w:val="712B5401"/>
    <w:rsid w:val="71940F8B"/>
    <w:rsid w:val="72DC3D7C"/>
    <w:rsid w:val="72F26247"/>
    <w:rsid w:val="73743710"/>
    <w:rsid w:val="74311DE2"/>
    <w:rsid w:val="74BD34C2"/>
    <w:rsid w:val="74C01B50"/>
    <w:rsid w:val="74C247C4"/>
    <w:rsid w:val="75755A71"/>
    <w:rsid w:val="75930CA2"/>
    <w:rsid w:val="7597441E"/>
    <w:rsid w:val="7740534E"/>
    <w:rsid w:val="77FB6DC2"/>
    <w:rsid w:val="786C17B3"/>
    <w:rsid w:val="7934057D"/>
    <w:rsid w:val="797B68E5"/>
    <w:rsid w:val="79C46E71"/>
    <w:rsid w:val="79E449F0"/>
    <w:rsid w:val="7AE01DB7"/>
    <w:rsid w:val="7C266384"/>
    <w:rsid w:val="7D1A1E96"/>
    <w:rsid w:val="7D4B722C"/>
    <w:rsid w:val="7DC576DE"/>
    <w:rsid w:val="7DC62E55"/>
    <w:rsid w:val="7DC70B7C"/>
    <w:rsid w:val="7DD311CA"/>
    <w:rsid w:val="7E6979E0"/>
    <w:rsid w:val="7E7C4DD4"/>
    <w:rsid w:val="7FC40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caption"/>
    <w:basedOn w:val="1"/>
    <w:next w:val="1"/>
    <w:uiPriority w:val="0"/>
    <w:pPr>
      <w:spacing w:before="152" w:after="160"/>
    </w:pPr>
    <w:rPr>
      <w:rFonts w:ascii="Arial" w:hAnsi="Arial" w:eastAsia="黑体" w:cs="Times New Roman"/>
    </w:rPr>
  </w:style>
  <w:style w:type="paragraph" w:styleId="4">
    <w:name w:val="annotation text"/>
    <w:basedOn w:val="1"/>
    <w:link w:val="18"/>
    <w:unhideWhenUsed/>
    <w:uiPriority w:val="99"/>
    <w:pPr>
      <w:jc w:val="left"/>
    </w:pPr>
  </w:style>
  <w:style w:type="paragraph" w:styleId="5">
    <w:name w:val="Balloon Text"/>
    <w:basedOn w:val="1"/>
    <w:link w:val="20"/>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19"/>
    <w:semiHidden/>
    <w:unhideWhenUsed/>
    <w:uiPriority w:val="99"/>
    <w:rPr>
      <w:b/>
      <w:bCs/>
    </w:rPr>
  </w:style>
  <w:style w:type="character" w:styleId="12">
    <w:name w:val="Strong"/>
    <w:basedOn w:val="11"/>
    <w:uiPriority w:val="0"/>
    <w:rPr>
      <w:b/>
      <w:bCs/>
    </w:rPr>
  </w:style>
  <w:style w:type="character" w:styleId="13">
    <w:name w:val="page number"/>
    <w:basedOn w:val="11"/>
    <w:semiHidden/>
    <w:unhideWhenUsed/>
    <w:uiPriority w:val="99"/>
  </w:style>
  <w:style w:type="character" w:styleId="14">
    <w:name w:val="annotation reference"/>
    <w:basedOn w:val="11"/>
    <w:semiHidden/>
    <w:unhideWhenUsed/>
    <w:uiPriority w:val="99"/>
    <w:rPr>
      <w:sz w:val="21"/>
      <w:szCs w:val="21"/>
    </w:rPr>
  </w:style>
  <w:style w:type="character" w:customStyle="1" w:styleId="15">
    <w:name w:val="页眉 字符"/>
    <w:basedOn w:val="11"/>
    <w:link w:val="7"/>
    <w:uiPriority w:val="99"/>
    <w:rPr>
      <w:sz w:val="18"/>
      <w:szCs w:val="18"/>
    </w:rPr>
  </w:style>
  <w:style w:type="character" w:customStyle="1" w:styleId="16">
    <w:name w:val="页脚 字符"/>
    <w:basedOn w:val="11"/>
    <w:link w:val="6"/>
    <w:uiPriority w:val="99"/>
    <w:rPr>
      <w:sz w:val="18"/>
      <w:szCs w:val="18"/>
    </w:rPr>
  </w:style>
  <w:style w:type="paragraph" w:styleId="17">
    <w:name w:val="List Paragraph"/>
    <w:basedOn w:val="1"/>
    <w:uiPriority w:val="34"/>
    <w:pPr>
      <w:ind w:firstLine="420" w:firstLineChars="200"/>
    </w:pPr>
  </w:style>
  <w:style w:type="character" w:customStyle="1" w:styleId="18">
    <w:name w:val="批注文字 字符"/>
    <w:basedOn w:val="11"/>
    <w:link w:val="4"/>
    <w:qFormat/>
    <w:uiPriority w:val="99"/>
    <w:rPr>
      <w:kern w:val="2"/>
      <w:sz w:val="21"/>
      <w:szCs w:val="22"/>
    </w:rPr>
  </w:style>
  <w:style w:type="character" w:customStyle="1" w:styleId="19">
    <w:name w:val="批注主题 字符"/>
    <w:basedOn w:val="18"/>
    <w:link w:val="9"/>
    <w:semiHidden/>
    <w:qFormat/>
    <w:uiPriority w:val="99"/>
    <w:rPr>
      <w:b/>
      <w:bCs/>
      <w:kern w:val="2"/>
      <w:sz w:val="21"/>
      <w:szCs w:val="22"/>
    </w:rPr>
  </w:style>
  <w:style w:type="character" w:customStyle="1" w:styleId="20">
    <w:name w:val="批注框文本 字符"/>
    <w:basedOn w:val="11"/>
    <w:link w:val="5"/>
    <w:semiHidden/>
    <w:qFormat/>
    <w:uiPriority w:val="99"/>
    <w:rPr>
      <w:kern w:val="2"/>
      <w:sz w:val="18"/>
      <w:szCs w:val="18"/>
    </w:rPr>
  </w:style>
  <w:style w:type="character" w:customStyle="1" w:styleId="21">
    <w:name w:val="List Paragraph Char"/>
    <w:link w:val="22"/>
    <w:locked/>
    <w:uiPriority w:val="99"/>
    <w:rPr>
      <w:rFonts w:ascii="Calibri" w:hAnsi="Calibri" w:eastAsia="宋体" w:cs="Times New Roman"/>
    </w:rPr>
  </w:style>
  <w:style w:type="paragraph" w:customStyle="1" w:styleId="22">
    <w:name w:val="列出段落1"/>
    <w:basedOn w:val="1"/>
    <w:link w:val="21"/>
    <w:uiPriority w:val="99"/>
    <w:pPr>
      <w:ind w:firstLine="420" w:firstLineChars="200"/>
    </w:pPr>
    <w:rPr>
      <w:rFonts w:ascii="Calibri" w:hAnsi="Calibri" w:cs="Times New Roman"/>
      <w:kern w:val="0"/>
      <w:sz w:val="20"/>
    </w:rPr>
  </w:style>
  <w:style w:type="paragraph" w:styleId="23">
    <w:name w:val="No Spacing"/>
    <w:basedOn w:val="1"/>
    <w:uiPriority w:val="1"/>
    <w:rPr>
      <w:rFonts w:cs="Times New Roman"/>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6正文"/>
    <w:basedOn w:val="1"/>
    <w:uiPriority w:val="0"/>
    <w:pPr>
      <w:spacing w:line="560" w:lineRule="exact"/>
      <w:ind w:firstLine="200" w:firstLineChars="200"/>
    </w:pPr>
    <w:rPr>
      <w:rFonts w:ascii="仿宋_GB2312" w:hAnsi="Calibri" w:eastAsia="仿宋_GB2312" w:cs="宋体"/>
      <w:color w:val="000000"/>
      <w:kern w:val="0"/>
      <w:sz w:val="30"/>
      <w:szCs w:val="30"/>
    </w:rPr>
  </w:style>
  <w:style w:type="paragraph" w:customStyle="1" w:styleId="26">
    <w:name w:val="协会正文"/>
    <w:basedOn w:val="1"/>
    <w:qFormat/>
    <w:uiPriority w:val="0"/>
    <w:pPr>
      <w:spacing w:line="560" w:lineRule="exact"/>
      <w:ind w:firstLine="200" w:firstLineChars="200"/>
    </w:pPr>
    <w:rPr>
      <w:rFonts w:ascii="仿宋" w:hAnsi="仿宋" w:eastAsia="仿宋" w:cs="仿宋"/>
      <w:sz w:val="32"/>
      <w:szCs w:val="32"/>
    </w:rPr>
  </w:style>
  <w:style w:type="paragraph" w:customStyle="1" w:styleId="27">
    <w:name w:val="协会大标题"/>
    <w:basedOn w:val="1"/>
    <w:qFormat/>
    <w:uiPriority w:val="0"/>
    <w:pPr>
      <w:snapToGrid w:val="0"/>
      <w:spacing w:line="560" w:lineRule="exact"/>
      <w:jc w:val="center"/>
    </w:pPr>
    <w:rPr>
      <w:rFonts w:ascii="仿宋" w:hAnsi="仿宋" w:eastAsia="仿宋" w:cs="仿宋"/>
      <w:b/>
      <w:bCs/>
      <w:sz w:val="44"/>
    </w:rPr>
  </w:style>
  <w:style w:type="paragraph" w:customStyle="1" w:styleId="28">
    <w:name w:val="协会标题一"/>
    <w:basedOn w:val="25"/>
    <w:next w:val="26"/>
    <w:qFormat/>
    <w:uiPriority w:val="0"/>
    <w:pPr>
      <w:numPr>
        <w:ilvl w:val="0"/>
        <w:numId w:val="1"/>
      </w:numPr>
    </w:pPr>
    <w:rPr>
      <w:rFonts w:ascii="黑体" w:hAnsi="黑体" w:eastAsia="黑体" w:cs="黑体"/>
      <w:sz w:val="32"/>
      <w:szCs w:val="32"/>
    </w:rPr>
  </w:style>
  <w:style w:type="paragraph" w:customStyle="1" w:styleId="29">
    <w:name w:val="协会标题（一）"/>
    <w:basedOn w:val="25"/>
    <w:next w:val="26"/>
    <w:qFormat/>
    <w:uiPriority w:val="0"/>
    <w:pPr>
      <w:numPr>
        <w:ilvl w:val="0"/>
        <w:numId w:val="2"/>
      </w:numPr>
    </w:pPr>
    <w:rPr>
      <w:rFonts w:ascii="楷体" w:hAnsi="楷体" w:eastAsia="楷体" w:cs="楷体"/>
      <w:sz w:val="32"/>
      <w:szCs w:val="32"/>
    </w:rPr>
  </w:style>
  <w:style w:type="paragraph" w:customStyle="1" w:styleId="30">
    <w:name w:val="协会标题1"/>
    <w:basedOn w:val="25"/>
    <w:next w:val="26"/>
    <w:qFormat/>
    <w:uiPriority w:val="0"/>
    <w:pPr>
      <w:numPr>
        <w:ilvl w:val="0"/>
        <w:numId w:val="3"/>
      </w:numPr>
    </w:pPr>
    <w:rPr>
      <w:rFonts w:ascii="仿宋" w:hAnsi="仿宋" w:eastAsia="仿宋" w:cs="仿宋"/>
      <w:sz w:val="32"/>
      <w:szCs w:val="32"/>
    </w:rPr>
  </w:style>
  <w:style w:type="paragraph" w:customStyle="1" w:styleId="31">
    <w:name w:val="Revision"/>
    <w:hidden/>
    <w:semiHidden/>
    <w:uiPriority w:val="99"/>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10</Pages>
  <Words>4365</Words>
  <Characters>4382</Characters>
  <Lines>31</Lines>
  <Paragraphs>8</Paragraphs>
  <TotalTime>14</TotalTime>
  <ScaleCrop>false</ScaleCrop>
  <LinksUpToDate>false</LinksUpToDate>
  <CharactersWithSpaces>4386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2023-07-14T01:24:00Z</dcterms:created>
  <dc:creator>SP</dc:creator>
  <cp:lastModifiedBy>蒋伟鹏</cp:lastModifiedBy>
  <cp:lastPrinted>2023-05-09T00:48:00Z</cp:lastPrinted>
  <dcterms:modified xsi:type="dcterms:W3CDTF">2023-08-11T08:17:06Z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555E5DCF4A584F5EB0A3895A2B25CDE7_13</vt:lpwstr>
  </property>
</Properties>
</file>